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48E4F" w14:textId="77777777" w:rsidR="00C13F11" w:rsidRDefault="007B729F" w:rsidP="00A2406E">
      <w:pPr>
        <w:pStyle w:val="Text"/>
        <w:jc w:val="left"/>
        <w:rPr>
          <w:b/>
          <w:color w:val="auto"/>
          <w:szCs w:val="24"/>
        </w:rPr>
      </w:pPr>
      <w:r>
        <w:rPr>
          <w:b/>
          <w:color w:val="auto"/>
          <w:szCs w:val="24"/>
        </w:rPr>
        <w:t>SUMMARY OF PRODUCT CHARACTERISTICS</w:t>
      </w:r>
    </w:p>
    <w:p w14:paraId="0054474B" w14:textId="77777777" w:rsidR="007B729F" w:rsidRDefault="007B729F">
      <w:pPr>
        <w:pStyle w:val="Formatvorlageberschrift1Automatisch"/>
      </w:pPr>
      <w:r>
        <w:t>NAME OF THE MEDICINAL PRODUCT</w:t>
      </w:r>
    </w:p>
    <w:p w14:paraId="4098C62D" w14:textId="170EA3AA" w:rsidR="00DD6222" w:rsidRDefault="00DD6222" w:rsidP="00DD6222">
      <w:pPr>
        <w:pStyle w:val="Text"/>
        <w:jc w:val="left"/>
        <w:rPr>
          <w:color w:val="auto"/>
        </w:rPr>
      </w:pPr>
      <w:proofErr w:type="spellStart"/>
      <w:r>
        <w:rPr>
          <w:color w:val="auto"/>
        </w:rPr>
        <w:t>Octagam</w:t>
      </w:r>
      <w:proofErr w:type="spellEnd"/>
      <w:r>
        <w:rPr>
          <w:color w:val="auto"/>
        </w:rPr>
        <w:t xml:space="preserve"> 10%</w:t>
      </w:r>
    </w:p>
    <w:p w14:paraId="68140FE9" w14:textId="51CF0A44" w:rsidR="00DD6222" w:rsidRDefault="00DD6222">
      <w:pPr>
        <w:pStyle w:val="Text"/>
        <w:jc w:val="left"/>
        <w:rPr>
          <w:color w:val="auto"/>
        </w:rPr>
      </w:pPr>
      <w:r w:rsidRPr="004E5484">
        <w:rPr>
          <w:color w:val="auto"/>
        </w:rPr>
        <w:t>100 mg/ml solution for infusion</w:t>
      </w:r>
    </w:p>
    <w:p w14:paraId="6BA79CB5" w14:textId="77777777" w:rsidR="007B729F" w:rsidRDefault="007B729F">
      <w:pPr>
        <w:pStyle w:val="Text"/>
        <w:jc w:val="left"/>
        <w:rPr>
          <w:i/>
          <w:iCs/>
          <w:color w:val="auto"/>
        </w:rPr>
      </w:pPr>
      <w:r>
        <w:rPr>
          <w:i/>
          <w:iCs/>
          <w:color w:val="auto"/>
        </w:rPr>
        <w:t>[country specific]</w:t>
      </w:r>
    </w:p>
    <w:p w14:paraId="1833BC60" w14:textId="77777777" w:rsidR="007B729F" w:rsidRDefault="007B729F">
      <w:pPr>
        <w:pStyle w:val="Text"/>
        <w:jc w:val="left"/>
        <w:rPr>
          <w:color w:val="auto"/>
        </w:rPr>
      </w:pPr>
    </w:p>
    <w:p w14:paraId="13CE62A7" w14:textId="77777777" w:rsidR="007B729F" w:rsidRDefault="007B729F">
      <w:pPr>
        <w:pStyle w:val="Formatvorlageberschrift1Automatisch"/>
        <w:rPr>
          <w:lang w:val="fr-FR"/>
        </w:rPr>
      </w:pPr>
      <w:r>
        <w:rPr>
          <w:lang w:val="fr-FR"/>
        </w:rPr>
        <w:t>QUALITATIVE AND QUANTITATIVE COMPOSITION</w:t>
      </w:r>
    </w:p>
    <w:p w14:paraId="76EE33ED" w14:textId="78244A17" w:rsidR="003C0242" w:rsidRDefault="003C0242">
      <w:pPr>
        <w:pStyle w:val="Text"/>
        <w:jc w:val="left"/>
        <w:rPr>
          <w:color w:val="auto"/>
          <w:szCs w:val="24"/>
        </w:rPr>
      </w:pPr>
    </w:p>
    <w:p w14:paraId="6FAB67D9" w14:textId="31A08A81" w:rsidR="00CF241C" w:rsidRDefault="00CF241C">
      <w:pPr>
        <w:pStyle w:val="Text"/>
        <w:jc w:val="left"/>
        <w:rPr>
          <w:color w:val="auto"/>
          <w:lang w:val="en-US"/>
        </w:rPr>
      </w:pPr>
      <w:r w:rsidRPr="00CF241C">
        <w:rPr>
          <w:color w:val="auto"/>
          <w:lang w:val="en-US"/>
        </w:rPr>
        <w:t>Human normal immunoglobulin (IVIg)</w:t>
      </w:r>
    </w:p>
    <w:p w14:paraId="7B0A374B" w14:textId="445553A8" w:rsidR="00A2406E" w:rsidRDefault="00A2406E">
      <w:pPr>
        <w:pStyle w:val="Text"/>
        <w:jc w:val="left"/>
        <w:rPr>
          <w:color w:val="auto"/>
          <w:lang w:val="en-US"/>
        </w:rPr>
      </w:pPr>
    </w:p>
    <w:p w14:paraId="1DBBDF1A" w14:textId="77777777" w:rsidR="00CF241C" w:rsidRDefault="00CF241C">
      <w:pPr>
        <w:pStyle w:val="Text"/>
        <w:jc w:val="left"/>
        <w:rPr>
          <w:color w:val="auto"/>
          <w:lang w:val="en-US"/>
        </w:rPr>
      </w:pPr>
      <w:bookmarkStart w:id="0" w:name="_Hlk531541073"/>
      <w:r>
        <w:rPr>
          <w:color w:val="auto"/>
          <w:lang w:val="en-US"/>
        </w:rPr>
        <w:t>One ml contains:</w:t>
      </w:r>
    </w:p>
    <w:p w14:paraId="4B6AB83E" w14:textId="77777777" w:rsidR="007B729F" w:rsidRPr="00682506" w:rsidRDefault="007B729F" w:rsidP="00A2406E">
      <w:pPr>
        <w:pStyle w:val="Text1"/>
        <w:spacing w:before="0"/>
        <w:ind w:left="0"/>
        <w:rPr>
          <w:color w:val="auto"/>
          <w:lang w:val="en-US"/>
        </w:rPr>
      </w:pPr>
      <w:r w:rsidRPr="00682506">
        <w:rPr>
          <w:color w:val="auto"/>
          <w:lang w:val="en-US"/>
        </w:rPr>
        <w:t xml:space="preserve">Human normal immunoglobulin (IVIg)   </w:t>
      </w:r>
      <w:bookmarkEnd w:id="0"/>
      <w:r w:rsidRPr="00682506">
        <w:rPr>
          <w:color w:val="auto"/>
          <w:lang w:val="en-US"/>
        </w:rPr>
        <w:t>100 mg</w:t>
      </w:r>
    </w:p>
    <w:p w14:paraId="582B0D85" w14:textId="30F4D48A" w:rsidR="007B729F" w:rsidRPr="001819DA" w:rsidRDefault="004E5484" w:rsidP="00A2406E">
      <w:pPr>
        <w:pStyle w:val="Text1"/>
        <w:spacing w:before="0"/>
        <w:ind w:left="0"/>
        <w:rPr>
          <w:color w:val="auto"/>
          <w:lang w:val="en-US"/>
        </w:rPr>
      </w:pPr>
      <w:r w:rsidRPr="001819DA">
        <w:rPr>
          <w:color w:val="auto"/>
          <w:lang w:val="en-US"/>
        </w:rPr>
        <w:t>(</w:t>
      </w:r>
      <w:proofErr w:type="gramStart"/>
      <w:r w:rsidRPr="001819DA">
        <w:rPr>
          <w:color w:val="auto"/>
          <w:lang w:val="en-US"/>
        </w:rPr>
        <w:t>purity</w:t>
      </w:r>
      <w:proofErr w:type="gramEnd"/>
      <w:r w:rsidRPr="001819DA">
        <w:rPr>
          <w:color w:val="auto"/>
          <w:lang w:val="en-US"/>
        </w:rPr>
        <w:t xml:space="preserve"> of</w:t>
      </w:r>
      <w:r w:rsidR="007B729F" w:rsidRPr="001819DA">
        <w:rPr>
          <w:color w:val="auto"/>
          <w:lang w:val="en-US"/>
        </w:rPr>
        <w:t xml:space="preserve"> at least 95%</w:t>
      </w:r>
      <w:r w:rsidRPr="001819DA">
        <w:rPr>
          <w:color w:val="auto"/>
          <w:lang w:val="en-US"/>
        </w:rPr>
        <w:t xml:space="preserve"> IgG)</w:t>
      </w:r>
    </w:p>
    <w:p w14:paraId="3B8A7E56" w14:textId="77777777" w:rsidR="00A2406E" w:rsidRPr="001819DA" w:rsidRDefault="00A2406E" w:rsidP="00A2406E">
      <w:pPr>
        <w:pStyle w:val="Text1"/>
        <w:spacing w:before="0"/>
        <w:ind w:left="0"/>
        <w:rPr>
          <w:color w:val="auto"/>
          <w:lang w:val="en-US"/>
        </w:rPr>
      </w:pPr>
    </w:p>
    <w:p w14:paraId="06B28FD8" w14:textId="77777777" w:rsidR="00CF241C" w:rsidRDefault="00CF241C" w:rsidP="00CF241C">
      <w:pPr>
        <w:pStyle w:val="Text"/>
        <w:spacing w:before="0" w:after="0"/>
        <w:rPr>
          <w:color w:val="auto"/>
        </w:rPr>
      </w:pPr>
      <w:r>
        <w:rPr>
          <w:color w:val="auto"/>
        </w:rPr>
        <w:t>Each vial of 20 ml contains 2g of human normal immunoglobulin.</w:t>
      </w:r>
    </w:p>
    <w:p w14:paraId="0B4513DC" w14:textId="77777777" w:rsidR="00CF241C" w:rsidRDefault="00CF241C" w:rsidP="00CF241C">
      <w:pPr>
        <w:pStyle w:val="Text"/>
        <w:spacing w:before="0" w:after="0"/>
        <w:rPr>
          <w:color w:val="auto"/>
        </w:rPr>
      </w:pPr>
      <w:r>
        <w:rPr>
          <w:color w:val="auto"/>
        </w:rPr>
        <w:t>Each bottle of 50 ml contains 5g of human normal immunoglobulin.</w:t>
      </w:r>
    </w:p>
    <w:p w14:paraId="74178FD9" w14:textId="77777777" w:rsidR="00CF241C" w:rsidRDefault="00CF241C" w:rsidP="00CF241C">
      <w:pPr>
        <w:pStyle w:val="Text"/>
        <w:spacing w:before="0" w:after="0"/>
        <w:rPr>
          <w:color w:val="auto"/>
        </w:rPr>
      </w:pPr>
      <w:r>
        <w:rPr>
          <w:color w:val="auto"/>
        </w:rPr>
        <w:t>Each bottle l of 60 ml contains 6g of human normal immunoglobulin.</w:t>
      </w:r>
    </w:p>
    <w:p w14:paraId="46F66920" w14:textId="77777777" w:rsidR="00CF241C" w:rsidRDefault="00CF241C" w:rsidP="00CF241C">
      <w:pPr>
        <w:pStyle w:val="Text"/>
        <w:spacing w:before="0" w:after="0"/>
        <w:rPr>
          <w:color w:val="auto"/>
        </w:rPr>
      </w:pPr>
      <w:r>
        <w:rPr>
          <w:color w:val="auto"/>
        </w:rPr>
        <w:t>Each bottle of 100 ml contains 10g of human normal immunoglobulin.</w:t>
      </w:r>
    </w:p>
    <w:p w14:paraId="762BBCAD" w14:textId="77777777" w:rsidR="00CF241C" w:rsidRDefault="00CF241C" w:rsidP="00CF241C">
      <w:pPr>
        <w:pStyle w:val="Text"/>
        <w:spacing w:before="0" w:after="0"/>
        <w:rPr>
          <w:color w:val="auto"/>
        </w:rPr>
      </w:pPr>
      <w:r>
        <w:rPr>
          <w:color w:val="auto"/>
        </w:rPr>
        <w:t>Each bottle of 200 ml contains 20g of human normal immunoglobulin.</w:t>
      </w:r>
    </w:p>
    <w:p w14:paraId="06F220B4" w14:textId="77777777" w:rsidR="00633A8C" w:rsidRDefault="00633A8C" w:rsidP="00CF241C">
      <w:pPr>
        <w:pStyle w:val="Text"/>
        <w:spacing w:before="0" w:after="0"/>
        <w:rPr>
          <w:color w:val="auto"/>
        </w:rPr>
      </w:pPr>
      <w:r>
        <w:rPr>
          <w:color w:val="auto"/>
        </w:rPr>
        <w:t>Each bottle of 300 ml contains 30g of human normal immunoglobulin.</w:t>
      </w:r>
    </w:p>
    <w:p w14:paraId="11DD4394" w14:textId="77777777" w:rsidR="00CF241C" w:rsidRDefault="00CF241C">
      <w:pPr>
        <w:pStyle w:val="Text"/>
        <w:jc w:val="left"/>
        <w:rPr>
          <w:color w:val="auto"/>
        </w:rPr>
      </w:pPr>
    </w:p>
    <w:p w14:paraId="7076425B" w14:textId="77777777" w:rsidR="007B729F" w:rsidRPr="004E5484" w:rsidRDefault="007B729F">
      <w:pPr>
        <w:pStyle w:val="Text"/>
        <w:jc w:val="left"/>
        <w:rPr>
          <w:color w:val="auto"/>
        </w:rPr>
      </w:pPr>
      <w:r w:rsidRPr="004E5484">
        <w:rPr>
          <w:color w:val="auto"/>
        </w:rPr>
        <w:t>Distribution of IgG subclasses</w:t>
      </w:r>
      <w:r w:rsidR="00887008">
        <w:rPr>
          <w:color w:val="auto"/>
        </w:rPr>
        <w:t xml:space="preserve"> (approx.</w:t>
      </w:r>
      <w:r w:rsidR="00C93845">
        <w:rPr>
          <w:color w:val="auto"/>
        </w:rPr>
        <w:t xml:space="preserve"> values)</w:t>
      </w:r>
      <w:r w:rsidRPr="004E5484">
        <w:rPr>
          <w:color w:val="auto"/>
        </w:rPr>
        <w:t>:</w:t>
      </w:r>
    </w:p>
    <w:p w14:paraId="01316231" w14:textId="6CFA573C" w:rsidR="00A2406E" w:rsidRDefault="007B729F">
      <w:pPr>
        <w:pStyle w:val="Text"/>
        <w:spacing w:before="0"/>
        <w:ind w:left="567"/>
        <w:jc w:val="left"/>
        <w:rPr>
          <w:color w:val="auto"/>
        </w:rPr>
      </w:pPr>
      <w:r w:rsidRPr="004E5484">
        <w:rPr>
          <w:color w:val="auto"/>
        </w:rPr>
        <w:t>IgG</w:t>
      </w:r>
      <w:r w:rsidRPr="004E5484">
        <w:rPr>
          <w:color w:val="auto"/>
          <w:vertAlign w:val="subscript"/>
        </w:rPr>
        <w:t>1</w:t>
      </w:r>
      <w:r w:rsidRPr="004E5484">
        <w:rPr>
          <w:color w:val="auto"/>
        </w:rPr>
        <w:tab/>
      </w:r>
      <w:r w:rsidRPr="004E5484">
        <w:rPr>
          <w:color w:val="auto"/>
        </w:rPr>
        <w:tab/>
        <w:t>ca. 60%</w:t>
      </w:r>
      <w:r w:rsidRPr="004E5484">
        <w:rPr>
          <w:color w:val="auto"/>
        </w:rPr>
        <w:br/>
        <w:t>IgG</w:t>
      </w:r>
      <w:r w:rsidRPr="004E5484">
        <w:rPr>
          <w:color w:val="auto"/>
          <w:position w:val="-4"/>
          <w:sz w:val="16"/>
        </w:rPr>
        <w:t>2</w:t>
      </w:r>
      <w:r w:rsidRPr="004E5484">
        <w:rPr>
          <w:color w:val="auto"/>
        </w:rPr>
        <w:tab/>
      </w:r>
      <w:r w:rsidRPr="004E5484">
        <w:rPr>
          <w:color w:val="auto"/>
        </w:rPr>
        <w:tab/>
        <w:t>ca. 32%</w:t>
      </w:r>
      <w:r w:rsidRPr="004E5484">
        <w:rPr>
          <w:color w:val="auto"/>
        </w:rPr>
        <w:br/>
        <w:t>IgG</w:t>
      </w:r>
      <w:r w:rsidRPr="004E5484">
        <w:rPr>
          <w:color w:val="auto"/>
          <w:position w:val="-4"/>
          <w:sz w:val="16"/>
        </w:rPr>
        <w:t>3</w:t>
      </w:r>
      <w:r w:rsidRPr="004E5484">
        <w:rPr>
          <w:color w:val="auto"/>
        </w:rPr>
        <w:tab/>
      </w:r>
      <w:r w:rsidRPr="004E5484">
        <w:rPr>
          <w:color w:val="auto"/>
        </w:rPr>
        <w:tab/>
        <w:t>ca. 7%</w:t>
      </w:r>
      <w:r w:rsidRPr="004E5484">
        <w:rPr>
          <w:color w:val="auto"/>
        </w:rPr>
        <w:br/>
        <w:t>IgG</w:t>
      </w:r>
      <w:r w:rsidRPr="004E5484">
        <w:rPr>
          <w:color w:val="auto"/>
          <w:position w:val="-4"/>
          <w:sz w:val="16"/>
        </w:rPr>
        <w:t>4</w:t>
      </w:r>
      <w:r w:rsidRPr="004E5484">
        <w:rPr>
          <w:color w:val="auto"/>
        </w:rPr>
        <w:tab/>
      </w:r>
      <w:r w:rsidRPr="004E5484">
        <w:rPr>
          <w:color w:val="auto"/>
        </w:rPr>
        <w:tab/>
        <w:t>ca. 1%</w:t>
      </w:r>
    </w:p>
    <w:p w14:paraId="5AF1910E" w14:textId="77777777" w:rsidR="00BC3C84" w:rsidRPr="004E5484" w:rsidRDefault="00BC3C84">
      <w:pPr>
        <w:pStyle w:val="Text"/>
        <w:spacing w:before="0"/>
        <w:ind w:left="567"/>
        <w:jc w:val="left"/>
        <w:rPr>
          <w:color w:val="auto"/>
        </w:rPr>
      </w:pPr>
    </w:p>
    <w:p w14:paraId="1F3C0D61" w14:textId="29AB2A90" w:rsidR="00A2406E" w:rsidRPr="009346A6" w:rsidRDefault="00A2406E" w:rsidP="00A2406E">
      <w:pPr>
        <w:pStyle w:val="Text"/>
        <w:spacing w:before="0"/>
        <w:jc w:val="left"/>
        <w:rPr>
          <w:color w:val="auto"/>
          <w:szCs w:val="24"/>
          <w:lang w:val="en-US"/>
        </w:rPr>
      </w:pPr>
      <w:r w:rsidRPr="00A2406E">
        <w:rPr>
          <w:color w:val="auto"/>
          <w:szCs w:val="24"/>
        </w:rPr>
        <w:t>Minimum level anti-measles IgG is 9 IU/</w:t>
      </w:r>
      <w:proofErr w:type="spellStart"/>
      <w:r w:rsidRPr="00A2406E">
        <w:rPr>
          <w:color w:val="auto"/>
          <w:szCs w:val="24"/>
        </w:rPr>
        <w:t>mL</w:t>
      </w:r>
      <w:r w:rsidR="00BC3C84">
        <w:rPr>
          <w:color w:val="auto"/>
          <w:szCs w:val="24"/>
        </w:rPr>
        <w:t>.</w:t>
      </w:r>
      <w:proofErr w:type="spellEnd"/>
    </w:p>
    <w:p w14:paraId="2706372F" w14:textId="77777777" w:rsidR="00A2406E" w:rsidRDefault="00A2406E" w:rsidP="00462135">
      <w:pPr>
        <w:pStyle w:val="Text"/>
        <w:spacing w:before="0"/>
        <w:jc w:val="left"/>
        <w:rPr>
          <w:color w:val="auto"/>
          <w:lang w:val="en-US"/>
        </w:rPr>
      </w:pPr>
    </w:p>
    <w:p w14:paraId="3D9052DE" w14:textId="1826E404" w:rsidR="007B729F" w:rsidRDefault="00C93845" w:rsidP="00462135">
      <w:pPr>
        <w:pStyle w:val="Text"/>
        <w:spacing w:before="0"/>
        <w:jc w:val="left"/>
        <w:rPr>
          <w:color w:val="auto"/>
          <w:lang w:val="en-US"/>
        </w:rPr>
      </w:pPr>
      <w:r>
        <w:rPr>
          <w:color w:val="auto"/>
          <w:lang w:val="en-US"/>
        </w:rPr>
        <w:t>The m</w:t>
      </w:r>
      <w:r w:rsidR="007B729F" w:rsidRPr="004E5484">
        <w:rPr>
          <w:color w:val="auto"/>
          <w:lang w:val="en-US"/>
        </w:rPr>
        <w:t>aximum IgA content</w:t>
      </w:r>
      <w:r>
        <w:rPr>
          <w:color w:val="auto"/>
          <w:lang w:val="en-US"/>
        </w:rPr>
        <w:t xml:space="preserve"> is</w:t>
      </w:r>
      <w:r w:rsidR="007B729F" w:rsidRPr="004E5484">
        <w:rPr>
          <w:color w:val="auto"/>
          <w:lang w:val="en-US"/>
        </w:rPr>
        <w:t xml:space="preserve"> </w:t>
      </w:r>
      <w:r w:rsidR="00B942BE" w:rsidRPr="004E5484">
        <w:rPr>
          <w:color w:val="auto"/>
          <w:lang w:val="en-US"/>
        </w:rPr>
        <w:t>400 micrograms</w:t>
      </w:r>
      <w:r w:rsidR="00FB7C1A" w:rsidRPr="004E5484">
        <w:rPr>
          <w:color w:val="auto"/>
          <w:lang w:val="en-US"/>
        </w:rPr>
        <w:t>/ml</w:t>
      </w:r>
    </w:p>
    <w:p w14:paraId="64C7F00E" w14:textId="77777777" w:rsidR="007B729F" w:rsidRDefault="007B729F">
      <w:pPr>
        <w:pStyle w:val="Text"/>
        <w:spacing w:before="0" w:after="0"/>
        <w:ind w:left="567"/>
        <w:jc w:val="left"/>
        <w:rPr>
          <w:color w:val="auto"/>
          <w:lang w:val="en-US"/>
        </w:rPr>
      </w:pPr>
    </w:p>
    <w:p w14:paraId="65512805" w14:textId="77777777" w:rsidR="00761832" w:rsidRDefault="002051D4">
      <w:pPr>
        <w:pStyle w:val="Text"/>
        <w:spacing w:before="0" w:after="0"/>
        <w:rPr>
          <w:color w:val="auto"/>
        </w:rPr>
      </w:pPr>
      <w:r>
        <w:rPr>
          <w:color w:val="auto"/>
        </w:rPr>
        <w:t xml:space="preserve">Produced from </w:t>
      </w:r>
      <w:r w:rsidR="00444ACD">
        <w:rPr>
          <w:color w:val="auto"/>
        </w:rPr>
        <w:t xml:space="preserve">the </w:t>
      </w:r>
      <w:r w:rsidR="00761832">
        <w:rPr>
          <w:color w:val="auto"/>
        </w:rPr>
        <w:t>plasma of human do</w:t>
      </w:r>
      <w:r w:rsidR="007928D0">
        <w:rPr>
          <w:color w:val="auto"/>
        </w:rPr>
        <w:t>n</w:t>
      </w:r>
      <w:r w:rsidR="00761832">
        <w:rPr>
          <w:color w:val="auto"/>
        </w:rPr>
        <w:t>ors.</w:t>
      </w:r>
    </w:p>
    <w:p w14:paraId="757926F9" w14:textId="77777777" w:rsidR="001B03EC" w:rsidRDefault="001B03EC">
      <w:pPr>
        <w:pStyle w:val="Text"/>
        <w:spacing w:before="0" w:after="0"/>
        <w:rPr>
          <w:color w:val="auto"/>
        </w:rPr>
      </w:pPr>
    </w:p>
    <w:p w14:paraId="43D91285" w14:textId="77777777" w:rsidR="001B03EC" w:rsidRPr="001B03EC" w:rsidRDefault="001B03EC" w:rsidP="001B03EC">
      <w:pPr>
        <w:pStyle w:val="Default"/>
        <w:jc w:val="both"/>
        <w:rPr>
          <w:rFonts w:ascii="Times New Roman" w:hAnsi="Times New Roman" w:cs="Times New Roman"/>
          <w:color w:val="auto"/>
          <w:szCs w:val="20"/>
          <w:u w:val="single"/>
          <w:lang w:val="en-GB" w:eastAsia="en-US"/>
        </w:rPr>
      </w:pPr>
      <w:r w:rsidRPr="001B03EC">
        <w:rPr>
          <w:rFonts w:ascii="Times New Roman" w:hAnsi="Times New Roman" w:cs="Times New Roman"/>
          <w:color w:val="auto"/>
          <w:szCs w:val="20"/>
          <w:u w:val="single"/>
          <w:lang w:val="en-GB" w:eastAsia="en-US"/>
        </w:rPr>
        <w:t xml:space="preserve">Excipient(s) with known effect </w:t>
      </w:r>
    </w:p>
    <w:p w14:paraId="79A86017" w14:textId="77777777" w:rsidR="001B03EC" w:rsidRDefault="001B03EC" w:rsidP="001B03EC">
      <w:pPr>
        <w:autoSpaceDE w:val="0"/>
        <w:autoSpaceDN w:val="0"/>
        <w:adjustRightInd w:val="0"/>
        <w:rPr>
          <w:color w:val="auto"/>
        </w:rPr>
      </w:pPr>
      <w:r w:rsidRPr="001B03EC">
        <w:rPr>
          <w:color w:val="auto"/>
        </w:rPr>
        <w:t>This medicinal product contains</w:t>
      </w:r>
      <w:r w:rsidR="00374F16">
        <w:rPr>
          <w:color w:val="auto"/>
        </w:rPr>
        <w:t xml:space="preserve"> 69</w:t>
      </w:r>
      <w:r w:rsidRPr="001B03EC">
        <w:rPr>
          <w:color w:val="auto"/>
        </w:rPr>
        <w:t xml:space="preserve"> mg sodium per 100 ml</w:t>
      </w:r>
      <w:r w:rsidR="00C749D5">
        <w:rPr>
          <w:color w:val="auto"/>
        </w:rPr>
        <w:t>,</w:t>
      </w:r>
      <w:r w:rsidRPr="001B03EC">
        <w:rPr>
          <w:color w:val="auto"/>
        </w:rPr>
        <w:t xml:space="preserve"> equivalent to </w:t>
      </w:r>
      <w:r w:rsidR="00374F16">
        <w:rPr>
          <w:color w:val="auto"/>
        </w:rPr>
        <w:t>3.45</w:t>
      </w:r>
      <w:r w:rsidRPr="001B03EC">
        <w:rPr>
          <w:color w:val="auto"/>
        </w:rPr>
        <w:t>% of the WHO recommended maximum daily intake of 2 g sodium for an adult.</w:t>
      </w:r>
    </w:p>
    <w:p w14:paraId="4B7B4226" w14:textId="77777777" w:rsidR="007B729F" w:rsidRDefault="007B729F">
      <w:pPr>
        <w:pStyle w:val="Text"/>
        <w:rPr>
          <w:color w:val="auto"/>
        </w:rPr>
      </w:pPr>
      <w:r>
        <w:rPr>
          <w:color w:val="auto"/>
        </w:rPr>
        <w:t>For a full list of excipients, see section 6.1.</w:t>
      </w:r>
    </w:p>
    <w:p w14:paraId="52A585F1" w14:textId="77777777" w:rsidR="007B729F" w:rsidRDefault="007B729F">
      <w:pPr>
        <w:pStyle w:val="Formatvorlageberschrift1Automatisch"/>
        <w:tabs>
          <w:tab w:val="clear" w:pos="432"/>
          <w:tab w:val="num" w:pos="360"/>
        </w:tabs>
        <w:ind w:left="0" w:firstLine="0"/>
        <w:rPr>
          <w:lang w:val="fr-FR"/>
        </w:rPr>
      </w:pPr>
      <w:r>
        <w:rPr>
          <w:lang w:val="fr-FR"/>
        </w:rPr>
        <w:t>PHARMACEUTICAL FORM</w:t>
      </w:r>
    </w:p>
    <w:p w14:paraId="33105C19" w14:textId="77777777" w:rsidR="007B729F" w:rsidRDefault="007B729F">
      <w:pPr>
        <w:pStyle w:val="Text"/>
        <w:jc w:val="left"/>
        <w:rPr>
          <w:color w:val="auto"/>
        </w:rPr>
      </w:pPr>
      <w:r>
        <w:rPr>
          <w:color w:val="auto"/>
        </w:rPr>
        <w:t>Solution for infusion</w:t>
      </w:r>
    </w:p>
    <w:p w14:paraId="15A9F3FD" w14:textId="77777777" w:rsidR="007B729F" w:rsidRDefault="007B729F">
      <w:pPr>
        <w:pStyle w:val="Text"/>
        <w:rPr>
          <w:color w:val="auto"/>
        </w:rPr>
      </w:pPr>
      <w:r>
        <w:rPr>
          <w:color w:val="auto"/>
          <w:lang w:val="en-US"/>
        </w:rPr>
        <w:t xml:space="preserve">The liquid preparation is clear to slightly opalescent and </w:t>
      </w:r>
      <w:r>
        <w:rPr>
          <w:color w:val="auto"/>
        </w:rPr>
        <w:t>colourless</w:t>
      </w:r>
      <w:r>
        <w:rPr>
          <w:color w:val="auto"/>
          <w:lang w:val="en-US"/>
        </w:rPr>
        <w:t xml:space="preserve"> to slightly yellow. The pH of the liquid preparation is 4.5 – 5.0, the osmolality is ≥ 240 </w:t>
      </w:r>
      <w:proofErr w:type="spellStart"/>
      <w:r>
        <w:rPr>
          <w:color w:val="auto"/>
          <w:lang w:val="en-US"/>
        </w:rPr>
        <w:t>mosmol</w:t>
      </w:r>
      <w:proofErr w:type="spellEnd"/>
      <w:r>
        <w:rPr>
          <w:color w:val="auto"/>
          <w:lang w:val="en-US"/>
        </w:rPr>
        <w:t>/kg.</w:t>
      </w:r>
    </w:p>
    <w:p w14:paraId="340200A3" w14:textId="77777777" w:rsidR="007B729F" w:rsidRDefault="007B729F">
      <w:pPr>
        <w:pStyle w:val="Formatvorlageberschrift1Automatisch"/>
        <w:tabs>
          <w:tab w:val="clear" w:pos="432"/>
          <w:tab w:val="num" w:pos="360"/>
        </w:tabs>
        <w:ind w:left="0" w:firstLine="0"/>
        <w:rPr>
          <w:lang w:val="fr-FR"/>
        </w:rPr>
      </w:pPr>
      <w:r>
        <w:rPr>
          <w:lang w:val="fr-FR"/>
        </w:rPr>
        <w:lastRenderedPageBreak/>
        <w:t>CLINICAL PARTICULARS</w:t>
      </w:r>
    </w:p>
    <w:p w14:paraId="4BDF2AE1" w14:textId="77777777" w:rsidR="007B729F" w:rsidRDefault="007B729F">
      <w:pPr>
        <w:pStyle w:val="Formatvorlageberschrift2AutomatischBlock"/>
      </w:pPr>
      <w:proofErr w:type="spellStart"/>
      <w:r>
        <w:t>Therapeutic</w:t>
      </w:r>
      <w:proofErr w:type="spellEnd"/>
      <w:r>
        <w:t xml:space="preserve"> Indications</w:t>
      </w:r>
    </w:p>
    <w:p w14:paraId="4B7CE662" w14:textId="77777777" w:rsidR="007E5D11" w:rsidRPr="007E5D11" w:rsidRDefault="007E5D11" w:rsidP="007E5D11">
      <w:pPr>
        <w:rPr>
          <w:u w:val="single"/>
        </w:rPr>
      </w:pPr>
      <w:r w:rsidRPr="007E5D11">
        <w:rPr>
          <w:u w:val="single"/>
        </w:rPr>
        <w:t>Replacement therapy in</w:t>
      </w:r>
      <w:r w:rsidR="00761832">
        <w:rPr>
          <w:u w:val="single"/>
        </w:rPr>
        <w:t xml:space="preserve"> adults, and children and adolescents (0-18 years) in</w:t>
      </w:r>
      <w:r w:rsidRPr="007E5D11">
        <w:rPr>
          <w:u w:val="single"/>
        </w:rPr>
        <w:t>:</w:t>
      </w:r>
    </w:p>
    <w:p w14:paraId="119F25FB" w14:textId="77777777" w:rsidR="00266B33" w:rsidRDefault="007B729F" w:rsidP="007B729F">
      <w:pPr>
        <w:pStyle w:val="Text"/>
        <w:numPr>
          <w:ilvl w:val="0"/>
          <w:numId w:val="6"/>
        </w:numPr>
        <w:jc w:val="left"/>
        <w:rPr>
          <w:color w:val="auto"/>
        </w:rPr>
      </w:pPr>
      <w:r>
        <w:rPr>
          <w:color w:val="auto"/>
        </w:rPr>
        <w:t xml:space="preserve">Primary immunodeficiency syndromes </w:t>
      </w:r>
      <w:r w:rsidR="001B03EC">
        <w:rPr>
          <w:color w:val="auto"/>
        </w:rPr>
        <w:t xml:space="preserve">(PID) </w:t>
      </w:r>
      <w:r w:rsidR="00761832">
        <w:rPr>
          <w:color w:val="auto"/>
        </w:rPr>
        <w:t xml:space="preserve">with </w:t>
      </w:r>
      <w:r w:rsidR="00266B33">
        <w:rPr>
          <w:color w:val="auto"/>
        </w:rPr>
        <w:t xml:space="preserve">impaired antibody production </w:t>
      </w:r>
    </w:p>
    <w:p w14:paraId="2180C2A3" w14:textId="77777777" w:rsidR="001B03EC" w:rsidRDefault="001B03EC" w:rsidP="007B729F">
      <w:pPr>
        <w:pStyle w:val="Text"/>
        <w:numPr>
          <w:ilvl w:val="0"/>
          <w:numId w:val="6"/>
        </w:numPr>
        <w:jc w:val="left"/>
        <w:rPr>
          <w:color w:val="auto"/>
        </w:rPr>
      </w:pPr>
      <w:r>
        <w:rPr>
          <w:color w:val="auto"/>
          <w:szCs w:val="24"/>
          <w:lang w:eastAsia="en-GB"/>
        </w:rPr>
        <w:t xml:space="preserve">Secondary immunodeficiencies (SID) in patients who suffer from severe or recurrent infections, ineffective antimicrobial treatment and </w:t>
      </w:r>
      <w:r w:rsidRPr="00BB77E7">
        <w:rPr>
          <w:b/>
          <w:color w:val="auto"/>
          <w:szCs w:val="24"/>
          <w:lang w:eastAsia="en-GB"/>
        </w:rPr>
        <w:t>either proven specific antibody failure (PSAF)*</w:t>
      </w:r>
      <w:r>
        <w:rPr>
          <w:color w:val="auto"/>
          <w:szCs w:val="24"/>
          <w:lang w:eastAsia="en-GB"/>
        </w:rPr>
        <w:t xml:space="preserve"> or serum IgG level of &lt;4g/l.</w:t>
      </w:r>
    </w:p>
    <w:p w14:paraId="63B7A062" w14:textId="77777777" w:rsidR="001B03EC" w:rsidRPr="001B03EC" w:rsidRDefault="001B03EC" w:rsidP="00462135">
      <w:pPr>
        <w:autoSpaceDE w:val="0"/>
        <w:autoSpaceDN w:val="0"/>
        <w:adjustRightInd w:val="0"/>
        <w:spacing w:before="80" w:after="80"/>
        <w:ind w:left="360"/>
        <w:jc w:val="both"/>
        <w:rPr>
          <w:color w:val="auto"/>
          <w:szCs w:val="24"/>
          <w:lang w:eastAsia="en-GB"/>
        </w:rPr>
      </w:pPr>
      <w:r w:rsidRPr="001B03EC">
        <w:rPr>
          <w:color w:val="auto"/>
          <w:szCs w:val="24"/>
          <w:lang w:eastAsia="en-GB"/>
        </w:rPr>
        <w:t>*PSAF=failure to mount at least a 2-fold rise in IgG antibody titre to pneumococcal polysaccharide and polypeptide antigen vaccines</w:t>
      </w:r>
    </w:p>
    <w:p w14:paraId="6B73393E" w14:textId="77777777" w:rsidR="00A2406E" w:rsidRPr="00A2406E" w:rsidRDefault="00A2406E" w:rsidP="00A2406E">
      <w:pPr>
        <w:spacing w:before="120" w:after="60"/>
        <w:jc w:val="both"/>
        <w:rPr>
          <w:color w:val="auto"/>
          <w:u w:val="single"/>
        </w:rPr>
      </w:pPr>
      <w:r w:rsidRPr="00A2406E">
        <w:rPr>
          <w:color w:val="auto"/>
          <w:u w:val="single"/>
        </w:rPr>
        <w:t xml:space="preserve">Measles pre-/post exposure prophylaxis for susceptible adults, </w:t>
      </w:r>
      <w:proofErr w:type="gramStart"/>
      <w:r w:rsidRPr="00A2406E">
        <w:rPr>
          <w:color w:val="auto"/>
          <w:u w:val="single"/>
        </w:rPr>
        <w:t>children</w:t>
      </w:r>
      <w:proofErr w:type="gramEnd"/>
      <w:r w:rsidRPr="00A2406E">
        <w:rPr>
          <w:color w:val="auto"/>
          <w:u w:val="single"/>
        </w:rPr>
        <w:t xml:space="preserve"> and adolescents (0-18 years) in whom active immunisation is contraindicated or not advised. </w:t>
      </w:r>
    </w:p>
    <w:p w14:paraId="3E6801D3" w14:textId="77777777" w:rsidR="00A2406E" w:rsidRPr="00A2406E" w:rsidRDefault="00A2406E" w:rsidP="00A2406E">
      <w:pPr>
        <w:spacing w:before="120" w:after="60"/>
        <w:jc w:val="both"/>
        <w:rPr>
          <w:color w:val="auto"/>
        </w:rPr>
      </w:pPr>
      <w:r w:rsidRPr="00A2406E">
        <w:rPr>
          <w:color w:val="auto"/>
        </w:rPr>
        <w:t>Consideration should also be given to official recommendations on intravenous human immunoglobulin use in measles pre-/post exposure prophylaxis and active immunisation.</w:t>
      </w:r>
    </w:p>
    <w:p w14:paraId="1690C026" w14:textId="77777777" w:rsidR="007D4891" w:rsidRDefault="007D4891" w:rsidP="00A2406E">
      <w:pPr>
        <w:pStyle w:val="Text"/>
        <w:jc w:val="left"/>
        <w:rPr>
          <w:color w:val="auto"/>
        </w:rPr>
      </w:pPr>
    </w:p>
    <w:p w14:paraId="4A281E89" w14:textId="77777777" w:rsidR="007E5D11" w:rsidRPr="007E5D11" w:rsidRDefault="007E5D11" w:rsidP="007E5D11">
      <w:pPr>
        <w:rPr>
          <w:u w:val="single"/>
        </w:rPr>
      </w:pPr>
      <w:r w:rsidRPr="007E5D11">
        <w:rPr>
          <w:u w:val="single"/>
        </w:rPr>
        <w:t>Immunomodulation</w:t>
      </w:r>
      <w:r w:rsidR="007D4891">
        <w:rPr>
          <w:u w:val="single"/>
        </w:rPr>
        <w:t xml:space="preserve"> in adults, and children and adolescents (0-18 years) in:</w:t>
      </w:r>
    </w:p>
    <w:p w14:paraId="00285879" w14:textId="77777777" w:rsidR="007B729F" w:rsidRDefault="007D4891" w:rsidP="007B729F">
      <w:pPr>
        <w:pStyle w:val="Text"/>
        <w:numPr>
          <w:ilvl w:val="0"/>
          <w:numId w:val="8"/>
        </w:numPr>
        <w:jc w:val="left"/>
        <w:rPr>
          <w:color w:val="auto"/>
        </w:rPr>
      </w:pPr>
      <w:r>
        <w:rPr>
          <w:color w:val="auto"/>
        </w:rPr>
        <w:t xml:space="preserve">Primary immune thrombocytopenia (ITP), in patients </w:t>
      </w:r>
      <w:r w:rsidR="007B729F">
        <w:rPr>
          <w:color w:val="auto"/>
        </w:rPr>
        <w:t>at high risk of bleeding or prior to surgery to correct the platelet count</w:t>
      </w:r>
    </w:p>
    <w:p w14:paraId="26D6C03F" w14:textId="77777777" w:rsidR="007B729F" w:rsidRDefault="007B729F" w:rsidP="007B729F">
      <w:pPr>
        <w:pStyle w:val="Text"/>
        <w:numPr>
          <w:ilvl w:val="0"/>
          <w:numId w:val="8"/>
        </w:numPr>
        <w:jc w:val="left"/>
        <w:rPr>
          <w:color w:val="auto"/>
        </w:rPr>
      </w:pPr>
      <w:r>
        <w:rPr>
          <w:color w:val="auto"/>
        </w:rPr>
        <w:t>Guillain Barré syndrome</w:t>
      </w:r>
    </w:p>
    <w:p w14:paraId="179A03C3" w14:textId="77777777" w:rsidR="007B729F" w:rsidRDefault="007B729F" w:rsidP="007B729F">
      <w:pPr>
        <w:pStyle w:val="Text"/>
        <w:numPr>
          <w:ilvl w:val="0"/>
          <w:numId w:val="8"/>
        </w:numPr>
        <w:jc w:val="left"/>
        <w:rPr>
          <w:color w:val="auto"/>
        </w:rPr>
      </w:pPr>
      <w:r>
        <w:rPr>
          <w:color w:val="auto"/>
        </w:rPr>
        <w:t>Kawasaki disease</w:t>
      </w:r>
      <w:r w:rsidR="00FE73D2">
        <w:rPr>
          <w:color w:val="auto"/>
        </w:rPr>
        <w:t xml:space="preserve"> (in conjunction with acetylsalicylic acid; see 4.2)</w:t>
      </w:r>
    </w:p>
    <w:p w14:paraId="0A8F0DA9" w14:textId="77777777" w:rsidR="00365558" w:rsidRPr="004E5484" w:rsidRDefault="00365558" w:rsidP="00365558">
      <w:pPr>
        <w:pStyle w:val="Text"/>
        <w:numPr>
          <w:ilvl w:val="0"/>
          <w:numId w:val="8"/>
        </w:numPr>
        <w:jc w:val="left"/>
        <w:rPr>
          <w:color w:val="auto"/>
        </w:rPr>
      </w:pPr>
      <w:r w:rsidRPr="004564F2">
        <w:rPr>
          <w:color w:val="auto"/>
        </w:rPr>
        <w:t>Chronic</w:t>
      </w:r>
      <w:r w:rsidRPr="00365558">
        <w:rPr>
          <w:color w:val="auto"/>
        </w:rPr>
        <w:t xml:space="preserve"> inflammatory demyelinating poly</w:t>
      </w:r>
      <w:r w:rsidR="00FE73D2">
        <w:rPr>
          <w:color w:val="auto"/>
        </w:rPr>
        <w:t>radiculo</w:t>
      </w:r>
      <w:r w:rsidRPr="00365558">
        <w:rPr>
          <w:color w:val="auto"/>
        </w:rPr>
        <w:t>neuropathy (CIDP)</w:t>
      </w:r>
      <w:r w:rsidR="00E3304F">
        <w:rPr>
          <w:color w:val="auto"/>
        </w:rPr>
        <w:t xml:space="preserve"> </w:t>
      </w:r>
    </w:p>
    <w:p w14:paraId="2D0BBA41" w14:textId="77777777" w:rsidR="00FE73D2" w:rsidRDefault="00FE73D2" w:rsidP="00FE73D2">
      <w:pPr>
        <w:pStyle w:val="Text"/>
        <w:numPr>
          <w:ilvl w:val="0"/>
          <w:numId w:val="8"/>
        </w:numPr>
        <w:jc w:val="left"/>
        <w:rPr>
          <w:color w:val="auto"/>
        </w:rPr>
      </w:pPr>
      <w:r>
        <w:rPr>
          <w:color w:val="auto"/>
        </w:rPr>
        <w:t>Multifocal motor neuropathy (MMN)</w:t>
      </w:r>
    </w:p>
    <w:p w14:paraId="35F50962" w14:textId="77777777" w:rsidR="000B4535" w:rsidRDefault="000B4535" w:rsidP="000B4535">
      <w:pPr>
        <w:pStyle w:val="Text"/>
        <w:ind w:left="360"/>
        <w:jc w:val="left"/>
        <w:rPr>
          <w:color w:val="auto"/>
        </w:rPr>
      </w:pPr>
    </w:p>
    <w:p w14:paraId="1475D02B" w14:textId="77777777" w:rsidR="00387E08" w:rsidRPr="00387E08" w:rsidRDefault="00387E08" w:rsidP="000B4535">
      <w:pPr>
        <w:spacing w:after="60"/>
        <w:rPr>
          <w:u w:val="single"/>
        </w:rPr>
      </w:pPr>
      <w:bookmarkStart w:id="1" w:name="_Hlk63852004"/>
      <w:r w:rsidRPr="007E5D11">
        <w:rPr>
          <w:u w:val="single"/>
        </w:rPr>
        <w:t>Immunomodulation</w:t>
      </w:r>
      <w:r>
        <w:rPr>
          <w:u w:val="single"/>
        </w:rPr>
        <w:t xml:space="preserve"> in adults </w:t>
      </w:r>
      <w:r w:rsidR="00B347D7">
        <w:rPr>
          <w:u w:val="single"/>
        </w:rPr>
        <w:t>with</w:t>
      </w:r>
      <w:r>
        <w:rPr>
          <w:u w:val="single"/>
        </w:rPr>
        <w:t>:</w:t>
      </w:r>
    </w:p>
    <w:p w14:paraId="06BFB3C0" w14:textId="77777777" w:rsidR="00242C35" w:rsidRPr="007E35DC" w:rsidRDefault="00B347D7" w:rsidP="00F91455">
      <w:pPr>
        <w:pStyle w:val="Text"/>
        <w:numPr>
          <w:ilvl w:val="0"/>
          <w:numId w:val="8"/>
        </w:numPr>
        <w:jc w:val="left"/>
        <w:rPr>
          <w:color w:val="auto"/>
        </w:rPr>
      </w:pPr>
      <w:bookmarkStart w:id="2" w:name="_Hlk64450627"/>
      <w:r w:rsidRPr="00B347D7">
        <w:rPr>
          <w:color w:val="auto"/>
        </w:rPr>
        <w:t>Active dermatomyositis treated with immunosuppressive drugs including corticosteroids, or with intolerance or contra-indications to those drugs</w:t>
      </w:r>
      <w:r w:rsidRPr="007E35DC" w:rsidDel="00B347D7">
        <w:rPr>
          <w:color w:val="auto"/>
        </w:rPr>
        <w:t xml:space="preserve"> </w:t>
      </w:r>
    </w:p>
    <w:bookmarkEnd w:id="1"/>
    <w:bookmarkEnd w:id="2"/>
    <w:p w14:paraId="035F9416" w14:textId="77777777" w:rsidR="00FE73D2" w:rsidRPr="007E35DC" w:rsidRDefault="00FE73D2" w:rsidP="00FE73D2">
      <w:pPr>
        <w:pStyle w:val="Text"/>
        <w:jc w:val="left"/>
        <w:rPr>
          <w:color w:val="auto"/>
          <w:highlight w:val="yellow"/>
          <w:lang w:val="en-US"/>
        </w:rPr>
      </w:pPr>
    </w:p>
    <w:p w14:paraId="04C0C07A" w14:textId="77777777" w:rsidR="007B729F" w:rsidRPr="009A7780" w:rsidRDefault="007B729F">
      <w:pPr>
        <w:pStyle w:val="Formatvorlageberschrift2AutomatischBlock"/>
        <w:tabs>
          <w:tab w:val="clear" w:pos="1116"/>
          <w:tab w:val="num" w:pos="360"/>
        </w:tabs>
        <w:ind w:left="0" w:firstLine="0"/>
        <w:rPr>
          <w:lang w:val="en-US"/>
        </w:rPr>
      </w:pPr>
      <w:r w:rsidRPr="009A7780">
        <w:rPr>
          <w:lang w:val="en-US"/>
        </w:rPr>
        <w:t>Posology and method of administration</w:t>
      </w:r>
    </w:p>
    <w:p w14:paraId="71A4A970" w14:textId="19104C2C" w:rsidR="00FE73D2" w:rsidRDefault="00BC3C84" w:rsidP="00FE73D2">
      <w:pPr>
        <w:pStyle w:val="Text"/>
        <w:spacing w:before="0" w:after="0"/>
        <w:rPr>
          <w:color w:val="auto"/>
        </w:rPr>
      </w:pPr>
      <w:r>
        <w:rPr>
          <w:color w:val="auto"/>
        </w:rPr>
        <w:t>IVIg</w:t>
      </w:r>
      <w:r w:rsidRPr="00B942BE">
        <w:rPr>
          <w:color w:val="auto"/>
        </w:rPr>
        <w:t xml:space="preserve"> </w:t>
      </w:r>
      <w:r w:rsidR="007E5D11" w:rsidRPr="00B942BE">
        <w:rPr>
          <w:color w:val="auto"/>
        </w:rPr>
        <w:t xml:space="preserve">therapy should be initiated and monitored under the supervision of a physician experienced in the treatment of </w:t>
      </w:r>
      <w:r w:rsidR="00906B2D" w:rsidRPr="00B942BE">
        <w:rPr>
          <w:color w:val="auto"/>
        </w:rPr>
        <w:t>i</w:t>
      </w:r>
      <w:r w:rsidR="00906B2D">
        <w:rPr>
          <w:color w:val="auto"/>
        </w:rPr>
        <w:t>mmune system disorders</w:t>
      </w:r>
      <w:r w:rsidR="007E5D11" w:rsidRPr="00B942BE">
        <w:rPr>
          <w:color w:val="auto"/>
        </w:rPr>
        <w:t>.</w:t>
      </w:r>
      <w:r w:rsidR="00FE73D2">
        <w:rPr>
          <w:color w:val="auto"/>
        </w:rPr>
        <w:t xml:space="preserve"> </w:t>
      </w:r>
    </w:p>
    <w:p w14:paraId="55051277" w14:textId="77777777" w:rsidR="007E5D11" w:rsidRDefault="007E5D11" w:rsidP="000C387E"/>
    <w:p w14:paraId="3EA244E9" w14:textId="77777777" w:rsidR="007E5D11" w:rsidRPr="007E5D11" w:rsidRDefault="007E5D11" w:rsidP="007E5D11">
      <w:pPr>
        <w:rPr>
          <w:u w:val="single"/>
        </w:rPr>
      </w:pPr>
      <w:r w:rsidRPr="007E5D11">
        <w:rPr>
          <w:u w:val="single"/>
        </w:rPr>
        <w:t xml:space="preserve">Posology </w:t>
      </w:r>
    </w:p>
    <w:p w14:paraId="723A64C6" w14:textId="77777777" w:rsidR="007B729F" w:rsidRDefault="007B729F">
      <w:pPr>
        <w:pStyle w:val="Text"/>
        <w:jc w:val="left"/>
        <w:rPr>
          <w:color w:val="auto"/>
        </w:rPr>
      </w:pPr>
      <w:r>
        <w:rPr>
          <w:color w:val="auto"/>
        </w:rPr>
        <w:t>The dose and dos</w:t>
      </w:r>
      <w:r w:rsidR="00CF241C">
        <w:rPr>
          <w:color w:val="auto"/>
        </w:rPr>
        <w:t>e</w:t>
      </w:r>
      <w:r>
        <w:rPr>
          <w:color w:val="auto"/>
        </w:rPr>
        <w:t xml:space="preserve"> regimen </w:t>
      </w:r>
      <w:r w:rsidR="00FE73D2">
        <w:rPr>
          <w:color w:val="auto"/>
        </w:rPr>
        <w:t xml:space="preserve">are </w:t>
      </w:r>
      <w:r>
        <w:rPr>
          <w:color w:val="auto"/>
        </w:rPr>
        <w:t>dependent on the indication.</w:t>
      </w:r>
    </w:p>
    <w:p w14:paraId="453900BB" w14:textId="2146ECDB" w:rsidR="005B353C" w:rsidRDefault="00FE73D2" w:rsidP="005B353C">
      <w:pPr>
        <w:pStyle w:val="Text"/>
        <w:rPr>
          <w:color w:val="auto"/>
        </w:rPr>
      </w:pPr>
      <w:r>
        <w:rPr>
          <w:color w:val="auto"/>
        </w:rPr>
        <w:t>T</w:t>
      </w:r>
      <w:r w:rsidR="007B729F">
        <w:rPr>
          <w:color w:val="auto"/>
        </w:rPr>
        <w:t>he dos</w:t>
      </w:r>
      <w:r w:rsidR="00CF241C">
        <w:rPr>
          <w:color w:val="auto"/>
        </w:rPr>
        <w:t>e</w:t>
      </w:r>
      <w:r w:rsidR="007B729F">
        <w:rPr>
          <w:color w:val="auto"/>
        </w:rPr>
        <w:t xml:space="preserve"> may need to be individualised for each patient dependent on the clinical response</w:t>
      </w:r>
      <w:r w:rsidR="007B729F" w:rsidRPr="0028292D">
        <w:rPr>
          <w:color w:val="auto"/>
        </w:rPr>
        <w:t>.</w:t>
      </w:r>
      <w:r w:rsidR="00BB77E7" w:rsidRPr="0028292D">
        <w:rPr>
          <w:color w:val="auto"/>
        </w:rPr>
        <w:t xml:space="preserve"> Dose based on bodyweight may require adjustment in underweight </w:t>
      </w:r>
      <w:r w:rsidR="00906B2D">
        <w:rPr>
          <w:color w:val="auto"/>
        </w:rPr>
        <w:t xml:space="preserve">or </w:t>
      </w:r>
      <w:r w:rsidR="00BB77E7" w:rsidRPr="0028292D">
        <w:rPr>
          <w:color w:val="auto"/>
        </w:rPr>
        <w:t>overweight patients.</w:t>
      </w:r>
      <w:r w:rsidR="005B353C">
        <w:rPr>
          <w:color w:val="auto"/>
        </w:rPr>
        <w:t xml:space="preserve"> </w:t>
      </w:r>
      <w:r w:rsidR="005B353C" w:rsidRPr="008013D4">
        <w:rPr>
          <w:color w:val="auto"/>
        </w:rPr>
        <w:t xml:space="preserve">In overweight </w:t>
      </w:r>
      <w:proofErr w:type="gramStart"/>
      <w:r w:rsidR="005B353C" w:rsidRPr="008013D4">
        <w:rPr>
          <w:color w:val="auto"/>
        </w:rPr>
        <w:t>patients</w:t>
      </w:r>
      <w:proofErr w:type="gramEnd"/>
      <w:r w:rsidR="005B353C" w:rsidRPr="008013D4">
        <w:rPr>
          <w:color w:val="auto"/>
        </w:rPr>
        <w:t xml:space="preserve"> dose should be based on the physiological standard bodyweight.</w:t>
      </w:r>
    </w:p>
    <w:p w14:paraId="36DDE911" w14:textId="77777777" w:rsidR="007B729F" w:rsidRDefault="007B729F">
      <w:pPr>
        <w:pStyle w:val="Text"/>
        <w:rPr>
          <w:color w:val="auto"/>
        </w:rPr>
      </w:pPr>
    </w:p>
    <w:p w14:paraId="7A42F090" w14:textId="38F9623A" w:rsidR="007B729F" w:rsidRDefault="007B729F">
      <w:pPr>
        <w:pStyle w:val="Text"/>
        <w:jc w:val="left"/>
        <w:rPr>
          <w:color w:val="auto"/>
        </w:rPr>
      </w:pPr>
      <w:r>
        <w:rPr>
          <w:color w:val="auto"/>
        </w:rPr>
        <w:t xml:space="preserve">The following dosage regimens are given as </w:t>
      </w:r>
      <w:r w:rsidR="00A2406E">
        <w:rPr>
          <w:color w:val="auto"/>
        </w:rPr>
        <w:t>guidance</w:t>
      </w:r>
      <w:r>
        <w:rPr>
          <w:color w:val="auto"/>
        </w:rPr>
        <w:t>:</w:t>
      </w:r>
    </w:p>
    <w:p w14:paraId="7513B7C6" w14:textId="77777777" w:rsidR="009D07F9" w:rsidRDefault="009D07F9">
      <w:pPr>
        <w:pStyle w:val="Text"/>
        <w:jc w:val="left"/>
        <w:rPr>
          <w:i/>
          <w:color w:val="auto"/>
        </w:rPr>
      </w:pPr>
    </w:p>
    <w:p w14:paraId="2FE89F75" w14:textId="77777777" w:rsidR="00261EE6" w:rsidRDefault="00261EE6">
      <w:pPr>
        <w:pStyle w:val="Text"/>
        <w:jc w:val="left"/>
        <w:rPr>
          <w:i/>
          <w:color w:val="auto"/>
        </w:rPr>
      </w:pPr>
    </w:p>
    <w:p w14:paraId="738C6B95" w14:textId="77777777" w:rsidR="00261EE6" w:rsidRDefault="00261EE6">
      <w:pPr>
        <w:pStyle w:val="Text"/>
        <w:jc w:val="left"/>
        <w:rPr>
          <w:i/>
          <w:color w:val="auto"/>
        </w:rPr>
      </w:pPr>
    </w:p>
    <w:p w14:paraId="107E23B0" w14:textId="0A3A243A" w:rsidR="007B729F" w:rsidRPr="001237B1" w:rsidRDefault="007E5D11">
      <w:pPr>
        <w:pStyle w:val="Text"/>
        <w:jc w:val="left"/>
        <w:rPr>
          <w:i/>
          <w:color w:val="auto"/>
        </w:rPr>
      </w:pPr>
      <w:r w:rsidRPr="007E5D11">
        <w:rPr>
          <w:i/>
          <w:color w:val="auto"/>
        </w:rPr>
        <w:t>Replacement therapy in primary immunodeficiency syndromes</w:t>
      </w:r>
    </w:p>
    <w:p w14:paraId="522BDB0C" w14:textId="6D8EEB85" w:rsidR="007B729F" w:rsidRDefault="007B729F" w:rsidP="009D07F9">
      <w:pPr>
        <w:pStyle w:val="Text"/>
        <w:rPr>
          <w:color w:val="auto"/>
        </w:rPr>
      </w:pPr>
      <w:r>
        <w:rPr>
          <w:color w:val="auto"/>
        </w:rPr>
        <w:t xml:space="preserve">The </w:t>
      </w:r>
      <w:r w:rsidR="00764C6B">
        <w:rPr>
          <w:color w:val="auto"/>
        </w:rPr>
        <w:t>dose</w:t>
      </w:r>
      <w:r>
        <w:rPr>
          <w:color w:val="auto"/>
        </w:rPr>
        <w:t xml:space="preserve"> regimen should achieve a trough level of IgG (measured before the next infusion) of at least 6 g/</w:t>
      </w:r>
      <w:r w:rsidR="009D07F9">
        <w:rPr>
          <w:color w:val="auto"/>
        </w:rPr>
        <w:t>L or within the normal reference range for the population age</w:t>
      </w:r>
      <w:r>
        <w:rPr>
          <w:color w:val="auto"/>
        </w:rPr>
        <w:t xml:space="preserve">. </w:t>
      </w:r>
      <w:r w:rsidR="0000276B">
        <w:rPr>
          <w:color w:val="auto"/>
        </w:rPr>
        <w:t>3</w:t>
      </w:r>
      <w:r w:rsidR="00906B2D">
        <w:rPr>
          <w:color w:val="auto"/>
        </w:rPr>
        <w:t>–</w:t>
      </w:r>
      <w:r w:rsidR="0000276B">
        <w:rPr>
          <w:color w:val="auto"/>
        </w:rPr>
        <w:t>6</w:t>
      </w:r>
      <w:r>
        <w:rPr>
          <w:color w:val="auto"/>
        </w:rPr>
        <w:t xml:space="preserve"> months are required after the initiation of therapy for equilibration </w:t>
      </w:r>
      <w:r w:rsidR="009D07F9">
        <w:rPr>
          <w:color w:val="auto"/>
        </w:rPr>
        <w:t xml:space="preserve">(steady-state IgG levels) </w:t>
      </w:r>
      <w:r>
        <w:rPr>
          <w:color w:val="auto"/>
        </w:rPr>
        <w:t>to occur. The recommended starting dose is 0.4</w:t>
      </w:r>
      <w:r w:rsidR="00906B2D">
        <w:rPr>
          <w:color w:val="auto"/>
        </w:rPr>
        <w:t>–</w:t>
      </w:r>
      <w:r>
        <w:rPr>
          <w:color w:val="auto"/>
        </w:rPr>
        <w:t>0.8 g/kg</w:t>
      </w:r>
      <w:r w:rsidR="00764C6B">
        <w:rPr>
          <w:color w:val="auto"/>
        </w:rPr>
        <w:t xml:space="preserve"> given once</w:t>
      </w:r>
      <w:r>
        <w:rPr>
          <w:color w:val="auto"/>
        </w:rPr>
        <w:t xml:space="preserve">, followed by at least 0.2 g/kg every </w:t>
      </w:r>
      <w:r w:rsidR="0000276B">
        <w:rPr>
          <w:color w:val="auto"/>
        </w:rPr>
        <w:t>3</w:t>
      </w:r>
      <w:r w:rsidR="00906B2D">
        <w:rPr>
          <w:color w:val="auto"/>
        </w:rPr>
        <w:t>–</w:t>
      </w:r>
      <w:r w:rsidR="0000276B">
        <w:rPr>
          <w:color w:val="auto"/>
        </w:rPr>
        <w:t>4</w:t>
      </w:r>
      <w:r w:rsidR="00764C6B">
        <w:rPr>
          <w:color w:val="auto"/>
        </w:rPr>
        <w:t xml:space="preserve"> </w:t>
      </w:r>
      <w:r>
        <w:rPr>
          <w:color w:val="auto"/>
        </w:rPr>
        <w:t>weeks.</w:t>
      </w:r>
    </w:p>
    <w:p w14:paraId="777F3977" w14:textId="28F3AC13" w:rsidR="007B729F" w:rsidRDefault="007B729F" w:rsidP="009D07F9">
      <w:pPr>
        <w:pStyle w:val="Text"/>
        <w:jc w:val="left"/>
        <w:rPr>
          <w:color w:val="auto"/>
        </w:rPr>
      </w:pPr>
      <w:r>
        <w:rPr>
          <w:color w:val="auto"/>
        </w:rPr>
        <w:t>The dose required to achieve a trough level of 6 g/</w:t>
      </w:r>
      <w:r w:rsidR="009D07F9">
        <w:rPr>
          <w:color w:val="auto"/>
        </w:rPr>
        <w:t>L</w:t>
      </w:r>
      <w:r>
        <w:rPr>
          <w:color w:val="auto"/>
        </w:rPr>
        <w:t xml:space="preserve"> is of the order of 0.2</w:t>
      </w:r>
      <w:r w:rsidR="00906B2D">
        <w:rPr>
          <w:color w:val="auto"/>
        </w:rPr>
        <w:t>–</w:t>
      </w:r>
      <w:r>
        <w:rPr>
          <w:color w:val="auto"/>
        </w:rPr>
        <w:t>0.8 g/kg/month.</w:t>
      </w:r>
    </w:p>
    <w:p w14:paraId="66CC8FD3" w14:textId="1DCB658C" w:rsidR="007B729F" w:rsidRDefault="007B729F" w:rsidP="009D07F9">
      <w:pPr>
        <w:pStyle w:val="Text"/>
        <w:jc w:val="left"/>
        <w:rPr>
          <w:color w:val="auto"/>
        </w:rPr>
      </w:pPr>
      <w:r>
        <w:rPr>
          <w:color w:val="auto"/>
        </w:rPr>
        <w:t xml:space="preserve">The dosage interval when steady state has been reached varies from </w:t>
      </w:r>
      <w:r w:rsidR="00764C6B">
        <w:rPr>
          <w:color w:val="auto"/>
        </w:rPr>
        <w:t>3</w:t>
      </w:r>
      <w:r w:rsidR="00906B2D">
        <w:rPr>
          <w:color w:val="auto"/>
        </w:rPr>
        <w:t>–</w:t>
      </w:r>
      <w:r>
        <w:rPr>
          <w:color w:val="auto"/>
        </w:rPr>
        <w:t>4 weeks.</w:t>
      </w:r>
    </w:p>
    <w:p w14:paraId="50B68CC2" w14:textId="77777777" w:rsidR="001E4A1C" w:rsidRDefault="009D07F9" w:rsidP="009D07F9">
      <w:pPr>
        <w:pStyle w:val="Text"/>
        <w:jc w:val="left"/>
        <w:rPr>
          <w:color w:val="auto"/>
        </w:rPr>
      </w:pPr>
      <w:r>
        <w:rPr>
          <w:color w:val="auto"/>
        </w:rPr>
        <w:t>IgG t</w:t>
      </w:r>
      <w:r w:rsidR="007B729F">
        <w:rPr>
          <w:color w:val="auto"/>
        </w:rPr>
        <w:t xml:space="preserve">rough levels should be measured </w:t>
      </w:r>
      <w:r w:rsidR="00764C6B">
        <w:rPr>
          <w:color w:val="auto"/>
        </w:rPr>
        <w:t xml:space="preserve">and assessed </w:t>
      </w:r>
      <w:r w:rsidR="007E5D11" w:rsidRPr="007E5D11">
        <w:rPr>
          <w:color w:val="auto"/>
        </w:rPr>
        <w:t xml:space="preserve">in conjunction with the incidence of infection. To reduce the rate of </w:t>
      </w:r>
      <w:r>
        <w:rPr>
          <w:color w:val="auto"/>
        </w:rPr>
        <w:t xml:space="preserve">bacterial </w:t>
      </w:r>
      <w:r w:rsidR="007E5D11" w:rsidRPr="007E5D11">
        <w:rPr>
          <w:color w:val="auto"/>
        </w:rPr>
        <w:t>infection</w:t>
      </w:r>
      <w:r>
        <w:rPr>
          <w:color w:val="auto"/>
        </w:rPr>
        <w:t>s</w:t>
      </w:r>
      <w:r w:rsidR="007E5D11" w:rsidRPr="007E5D11">
        <w:rPr>
          <w:color w:val="auto"/>
        </w:rPr>
        <w:t>, it may be necessary to increase the dosage and aim for higher trough levels.</w:t>
      </w:r>
    </w:p>
    <w:p w14:paraId="0642D907" w14:textId="77777777" w:rsidR="009D07F9" w:rsidRDefault="009D07F9" w:rsidP="009D07F9">
      <w:pPr>
        <w:pStyle w:val="Text"/>
        <w:jc w:val="left"/>
        <w:rPr>
          <w:color w:val="auto"/>
        </w:rPr>
      </w:pPr>
    </w:p>
    <w:p w14:paraId="4D8CA042" w14:textId="1F035AEB" w:rsidR="009D07F9" w:rsidRPr="00B00571" w:rsidRDefault="0000276B" w:rsidP="009D07F9">
      <w:pPr>
        <w:pStyle w:val="Text"/>
        <w:rPr>
          <w:i/>
          <w:color w:val="auto"/>
        </w:rPr>
      </w:pPr>
      <w:r>
        <w:rPr>
          <w:i/>
          <w:color w:val="auto"/>
        </w:rPr>
        <w:t>Replacement therapy in s</w:t>
      </w:r>
      <w:r w:rsidR="009D07F9" w:rsidRPr="00B00571">
        <w:rPr>
          <w:i/>
          <w:color w:val="auto"/>
        </w:rPr>
        <w:t>econdary immunodeficiencies (as defined in 4.1.)</w:t>
      </w:r>
    </w:p>
    <w:p w14:paraId="26ECDF17" w14:textId="6C1F1B23" w:rsidR="009D07F9" w:rsidRPr="00F41117" w:rsidRDefault="009D07F9" w:rsidP="009D07F9">
      <w:pPr>
        <w:pStyle w:val="Text"/>
        <w:rPr>
          <w:color w:val="auto"/>
        </w:rPr>
      </w:pPr>
      <w:r>
        <w:rPr>
          <w:color w:val="auto"/>
        </w:rPr>
        <w:t>The recommended dose is 0.2</w:t>
      </w:r>
      <w:r w:rsidR="00906B2D">
        <w:rPr>
          <w:color w:val="auto"/>
        </w:rPr>
        <w:t>–</w:t>
      </w:r>
      <w:r>
        <w:rPr>
          <w:color w:val="auto"/>
        </w:rPr>
        <w:t xml:space="preserve">0.4 </w:t>
      </w:r>
      <w:r w:rsidR="00FF56C7">
        <w:rPr>
          <w:color w:val="auto"/>
        </w:rPr>
        <w:t>g</w:t>
      </w:r>
      <w:r>
        <w:rPr>
          <w:color w:val="auto"/>
        </w:rPr>
        <w:t xml:space="preserve">/kg every </w:t>
      </w:r>
      <w:r w:rsidR="0000276B">
        <w:rPr>
          <w:color w:val="auto"/>
        </w:rPr>
        <w:t>3–4</w:t>
      </w:r>
      <w:r>
        <w:rPr>
          <w:color w:val="auto"/>
        </w:rPr>
        <w:t xml:space="preserve"> weeks.</w:t>
      </w:r>
    </w:p>
    <w:p w14:paraId="68374A66" w14:textId="77777777" w:rsidR="009D07F9" w:rsidRPr="00F41117" w:rsidRDefault="009D07F9" w:rsidP="009D07F9">
      <w:pPr>
        <w:pStyle w:val="Text"/>
        <w:rPr>
          <w:color w:val="auto"/>
        </w:rPr>
      </w:pPr>
      <w:r>
        <w:rPr>
          <w:color w:val="auto"/>
        </w:rPr>
        <w:t>IgG trough levels should be measured and assessed in conjunction with the incidence of infection. Dose should be adjusted as necessary to achieve optimal protection against infections, an increase may be necessary in patients with persisting infection; a dose decrease can be considered when the patient remains infection free.</w:t>
      </w:r>
    </w:p>
    <w:p w14:paraId="06151BAB" w14:textId="77777777" w:rsidR="0000276B" w:rsidRPr="0000276B" w:rsidRDefault="0000276B" w:rsidP="0000276B">
      <w:pPr>
        <w:spacing w:before="120" w:after="60"/>
        <w:jc w:val="both"/>
        <w:rPr>
          <w:color w:val="auto"/>
        </w:rPr>
      </w:pPr>
    </w:p>
    <w:p w14:paraId="72D32E95" w14:textId="77777777" w:rsidR="0000276B" w:rsidRPr="0000276B" w:rsidRDefault="0000276B" w:rsidP="0000276B">
      <w:pPr>
        <w:spacing w:before="120" w:after="60"/>
        <w:jc w:val="both"/>
        <w:rPr>
          <w:i/>
          <w:color w:val="auto"/>
          <w:lang w:val="fr-FR"/>
        </w:rPr>
      </w:pPr>
      <w:proofErr w:type="spellStart"/>
      <w:r w:rsidRPr="0000276B">
        <w:rPr>
          <w:i/>
          <w:color w:val="auto"/>
          <w:lang w:val="fr-FR"/>
        </w:rPr>
        <w:t>Measles</w:t>
      </w:r>
      <w:proofErr w:type="spellEnd"/>
      <w:r w:rsidRPr="0000276B">
        <w:rPr>
          <w:i/>
          <w:color w:val="auto"/>
          <w:lang w:val="fr-FR"/>
        </w:rPr>
        <w:t xml:space="preserve"> </w:t>
      </w:r>
      <w:proofErr w:type="spellStart"/>
      <w:r w:rsidRPr="0000276B">
        <w:rPr>
          <w:i/>
          <w:color w:val="auto"/>
          <w:lang w:val="fr-FR"/>
        </w:rPr>
        <w:t>pre</w:t>
      </w:r>
      <w:proofErr w:type="spellEnd"/>
      <w:r w:rsidRPr="0000276B">
        <w:rPr>
          <w:i/>
          <w:color w:val="auto"/>
          <w:lang w:val="fr-FR"/>
        </w:rPr>
        <w:t xml:space="preserve">-/post </w:t>
      </w:r>
      <w:proofErr w:type="spellStart"/>
      <w:r w:rsidRPr="0000276B">
        <w:rPr>
          <w:i/>
          <w:color w:val="auto"/>
          <w:lang w:val="fr-FR"/>
        </w:rPr>
        <w:t>exposure</w:t>
      </w:r>
      <w:proofErr w:type="spellEnd"/>
      <w:r w:rsidRPr="0000276B">
        <w:rPr>
          <w:i/>
          <w:color w:val="auto"/>
          <w:lang w:val="fr-FR"/>
        </w:rPr>
        <w:t xml:space="preserve"> </w:t>
      </w:r>
      <w:proofErr w:type="spellStart"/>
      <w:r w:rsidRPr="0000276B">
        <w:rPr>
          <w:i/>
          <w:color w:val="auto"/>
          <w:lang w:val="fr-FR"/>
        </w:rPr>
        <w:t>prophylaxis</w:t>
      </w:r>
      <w:proofErr w:type="spellEnd"/>
    </w:p>
    <w:p w14:paraId="2AAF0490" w14:textId="77777777" w:rsidR="0000276B" w:rsidRPr="0000276B" w:rsidRDefault="0000276B" w:rsidP="0000276B">
      <w:pPr>
        <w:spacing w:before="120" w:after="60"/>
        <w:jc w:val="both"/>
        <w:rPr>
          <w:color w:val="auto"/>
          <w:lang w:val="fr-FR"/>
        </w:rPr>
      </w:pPr>
      <w:r w:rsidRPr="0000276B">
        <w:rPr>
          <w:color w:val="auto"/>
          <w:lang w:val="fr-FR"/>
        </w:rPr>
        <w:t>Post-</w:t>
      </w:r>
      <w:proofErr w:type="spellStart"/>
      <w:r w:rsidRPr="0000276B">
        <w:rPr>
          <w:color w:val="auto"/>
          <w:lang w:val="fr-FR"/>
        </w:rPr>
        <w:t>exposure</w:t>
      </w:r>
      <w:proofErr w:type="spellEnd"/>
      <w:r w:rsidRPr="0000276B">
        <w:rPr>
          <w:color w:val="auto"/>
          <w:lang w:val="fr-FR"/>
        </w:rPr>
        <w:t xml:space="preserve"> </w:t>
      </w:r>
      <w:proofErr w:type="spellStart"/>
      <w:r w:rsidRPr="0000276B">
        <w:rPr>
          <w:color w:val="auto"/>
          <w:lang w:val="fr-FR"/>
        </w:rPr>
        <w:t>prophylaxis</w:t>
      </w:r>
      <w:proofErr w:type="spellEnd"/>
      <w:r w:rsidRPr="0000276B">
        <w:rPr>
          <w:color w:val="auto"/>
          <w:lang w:val="fr-FR"/>
        </w:rPr>
        <w:t xml:space="preserve"> </w:t>
      </w:r>
    </w:p>
    <w:p w14:paraId="174EDAA9" w14:textId="77777777" w:rsidR="0000276B" w:rsidRPr="0000276B" w:rsidRDefault="0000276B" w:rsidP="0000276B">
      <w:pPr>
        <w:spacing w:before="120" w:after="60"/>
        <w:jc w:val="both"/>
        <w:rPr>
          <w:color w:val="auto"/>
        </w:rPr>
      </w:pPr>
      <w:r w:rsidRPr="0000276B">
        <w:rPr>
          <w:color w:val="auto"/>
        </w:rPr>
        <w:t xml:space="preserve">If a susceptible patient has been exposed to measles, a dose of 0.4 g/kg given as soon as possible and within 6 days of exposure should provide a serum level &gt; 240 </w:t>
      </w:r>
      <w:proofErr w:type="spellStart"/>
      <w:r w:rsidRPr="0000276B">
        <w:rPr>
          <w:color w:val="auto"/>
        </w:rPr>
        <w:t>mIU</w:t>
      </w:r>
      <w:proofErr w:type="spellEnd"/>
      <w:r w:rsidRPr="0000276B">
        <w:rPr>
          <w:color w:val="auto"/>
        </w:rPr>
        <w:t xml:space="preserve">/mL of measles antibodies for at least 2 weeks. Serum levels should be checked after 2 weeks and documented. A further dose of 0.4 g/kg possibly to be repeated once after 2 weeks may be necessary to maintain the serum level &gt; 240 </w:t>
      </w:r>
      <w:proofErr w:type="spellStart"/>
      <w:r w:rsidRPr="0000276B">
        <w:rPr>
          <w:color w:val="auto"/>
        </w:rPr>
        <w:t>mIU</w:t>
      </w:r>
      <w:proofErr w:type="spellEnd"/>
      <w:r w:rsidRPr="0000276B">
        <w:rPr>
          <w:color w:val="auto"/>
        </w:rPr>
        <w:t xml:space="preserve">/ml. </w:t>
      </w:r>
    </w:p>
    <w:p w14:paraId="472750C6" w14:textId="0060F425" w:rsidR="0000276B" w:rsidRPr="0000276B" w:rsidRDefault="0000276B" w:rsidP="0000276B">
      <w:pPr>
        <w:spacing w:before="120" w:after="60"/>
        <w:jc w:val="both"/>
        <w:rPr>
          <w:color w:val="auto"/>
        </w:rPr>
      </w:pPr>
      <w:r w:rsidRPr="0000276B">
        <w:rPr>
          <w:color w:val="auto"/>
        </w:rPr>
        <w:t>If a PID/SID patient has been exposed to measles and regularly receives IVIg infusions, it should be considered to administer an extra dose of IVI</w:t>
      </w:r>
      <w:r w:rsidR="00C50321">
        <w:rPr>
          <w:color w:val="auto"/>
        </w:rPr>
        <w:t>g</w:t>
      </w:r>
      <w:r w:rsidRPr="0000276B">
        <w:rPr>
          <w:color w:val="auto"/>
        </w:rPr>
        <w:t xml:space="preserve"> as soon as possible and within 6 days of exposure. A dose of 0.4 g/kg should provide a serum level &gt; 240 </w:t>
      </w:r>
      <w:proofErr w:type="spellStart"/>
      <w:r w:rsidRPr="0000276B">
        <w:rPr>
          <w:color w:val="auto"/>
        </w:rPr>
        <w:t>mIU</w:t>
      </w:r>
      <w:proofErr w:type="spellEnd"/>
      <w:r w:rsidRPr="0000276B">
        <w:rPr>
          <w:color w:val="auto"/>
        </w:rPr>
        <w:t xml:space="preserve">/ml of measles antibodies for at least 2 weeks. </w:t>
      </w:r>
    </w:p>
    <w:p w14:paraId="4A528B6E" w14:textId="77777777" w:rsidR="0000276B" w:rsidRPr="0000276B" w:rsidRDefault="0000276B" w:rsidP="0000276B">
      <w:pPr>
        <w:spacing w:before="120" w:after="60"/>
        <w:jc w:val="both"/>
        <w:rPr>
          <w:color w:val="auto"/>
        </w:rPr>
      </w:pPr>
      <w:r w:rsidRPr="0000276B">
        <w:rPr>
          <w:color w:val="auto"/>
        </w:rPr>
        <w:t xml:space="preserve">Pre-exposure prophylaxis </w:t>
      </w:r>
    </w:p>
    <w:p w14:paraId="5BBBCA15" w14:textId="6CE69C8F" w:rsidR="0000276B" w:rsidRDefault="0000276B" w:rsidP="0000276B">
      <w:pPr>
        <w:spacing w:before="120" w:after="60"/>
        <w:jc w:val="both"/>
        <w:rPr>
          <w:color w:val="auto"/>
        </w:rPr>
      </w:pPr>
      <w:r w:rsidRPr="0000276B">
        <w:rPr>
          <w:color w:val="auto"/>
        </w:rPr>
        <w:t>If a PID/SID patient is at risk of future measles exposure and receives a</w:t>
      </w:r>
      <w:r w:rsidR="00D942ED">
        <w:rPr>
          <w:color w:val="auto"/>
        </w:rPr>
        <w:t>n</w:t>
      </w:r>
      <w:r w:rsidRPr="0000276B">
        <w:rPr>
          <w:color w:val="auto"/>
        </w:rPr>
        <w:t xml:space="preserve"> IVI</w:t>
      </w:r>
      <w:r w:rsidR="00C50321">
        <w:rPr>
          <w:color w:val="auto"/>
        </w:rPr>
        <w:t>g</w:t>
      </w:r>
      <w:r w:rsidRPr="0000276B">
        <w:rPr>
          <w:color w:val="auto"/>
        </w:rPr>
        <w:t xml:space="preserve"> maintenance dose of less than 0.53 g/kg every 3–4 weeks, this dose should be increased once to 0.53 g/kg. This should provide a serum level of &gt;240 </w:t>
      </w:r>
      <w:proofErr w:type="spellStart"/>
      <w:r w:rsidRPr="0000276B">
        <w:rPr>
          <w:color w:val="auto"/>
        </w:rPr>
        <w:t>mIU</w:t>
      </w:r>
      <w:proofErr w:type="spellEnd"/>
      <w:r w:rsidRPr="0000276B">
        <w:rPr>
          <w:color w:val="auto"/>
        </w:rPr>
        <w:t>/ml of measles antibodies for at least 22 days after infusion.</w:t>
      </w:r>
    </w:p>
    <w:p w14:paraId="77A2756C" w14:textId="77777777" w:rsidR="0000276B" w:rsidRPr="0000276B" w:rsidRDefault="0000276B" w:rsidP="0000276B">
      <w:pPr>
        <w:spacing w:before="120" w:after="60"/>
        <w:jc w:val="both"/>
        <w:rPr>
          <w:color w:val="auto"/>
        </w:rPr>
      </w:pPr>
    </w:p>
    <w:p w14:paraId="2C2E0B1D" w14:textId="5501193F" w:rsidR="00BB77E7" w:rsidRDefault="0000276B" w:rsidP="0000276B">
      <w:pPr>
        <w:spacing w:before="120" w:after="60"/>
        <w:jc w:val="both"/>
        <w:rPr>
          <w:i/>
          <w:color w:val="auto"/>
        </w:rPr>
      </w:pPr>
      <w:r w:rsidRPr="001819DA">
        <w:rPr>
          <w:b/>
          <w:bCs/>
          <w:i/>
          <w:iCs/>
          <w:color w:val="auto"/>
          <w:szCs w:val="24"/>
          <w:lang w:val="en-US" w:eastAsia="de-AT"/>
        </w:rPr>
        <w:t>Immunomodulation in:</w:t>
      </w:r>
    </w:p>
    <w:p w14:paraId="7D6D2C20" w14:textId="77777777" w:rsidR="007E5D11" w:rsidRDefault="007E5D11" w:rsidP="007E5D11">
      <w:pPr>
        <w:pStyle w:val="Text"/>
        <w:jc w:val="left"/>
        <w:rPr>
          <w:i/>
          <w:color w:val="auto"/>
        </w:rPr>
      </w:pPr>
      <w:r w:rsidRPr="007E5D11">
        <w:rPr>
          <w:i/>
          <w:color w:val="auto"/>
        </w:rPr>
        <w:t>Primary immune thrombocytopenia</w:t>
      </w:r>
    </w:p>
    <w:p w14:paraId="6042CA99" w14:textId="77777777" w:rsidR="001E4A1C" w:rsidRPr="00B942BE" w:rsidRDefault="007E5D11" w:rsidP="00B942BE">
      <w:pPr>
        <w:pStyle w:val="Text"/>
        <w:jc w:val="left"/>
        <w:rPr>
          <w:color w:val="auto"/>
        </w:rPr>
      </w:pPr>
      <w:r w:rsidRPr="00B942BE">
        <w:rPr>
          <w:color w:val="auto"/>
        </w:rPr>
        <w:t>There are two alternative treatment schedules:</w:t>
      </w:r>
    </w:p>
    <w:p w14:paraId="7D633CE6" w14:textId="275DCBB8" w:rsidR="007E5D11" w:rsidRPr="007E5D11" w:rsidRDefault="007E5D11" w:rsidP="007E5D11">
      <w:pPr>
        <w:pStyle w:val="Text"/>
        <w:numPr>
          <w:ilvl w:val="0"/>
          <w:numId w:val="11"/>
        </w:numPr>
        <w:jc w:val="left"/>
        <w:rPr>
          <w:color w:val="auto"/>
        </w:rPr>
      </w:pPr>
      <w:r w:rsidRPr="007E5D11">
        <w:rPr>
          <w:color w:val="auto"/>
        </w:rPr>
        <w:t>0.8</w:t>
      </w:r>
      <w:r w:rsidR="005A6D27">
        <w:rPr>
          <w:color w:val="auto"/>
        </w:rPr>
        <w:t>–</w:t>
      </w:r>
      <w:r w:rsidRPr="007E5D11">
        <w:rPr>
          <w:color w:val="auto"/>
        </w:rPr>
        <w:t xml:space="preserve">1g/kg given on day </w:t>
      </w:r>
      <w:r w:rsidR="00BC3C84">
        <w:rPr>
          <w:color w:val="auto"/>
        </w:rPr>
        <w:t>1</w:t>
      </w:r>
      <w:r w:rsidRPr="007E5D11">
        <w:rPr>
          <w:color w:val="auto"/>
        </w:rPr>
        <w:t>; this dose may be repeated once within 3 days</w:t>
      </w:r>
      <w:r w:rsidR="00BB77E7">
        <w:rPr>
          <w:color w:val="auto"/>
        </w:rPr>
        <w:t>.</w:t>
      </w:r>
    </w:p>
    <w:p w14:paraId="015C5A66" w14:textId="6D7388E6" w:rsidR="007B729F" w:rsidRPr="005A6D27" w:rsidRDefault="007E5D11" w:rsidP="00082315">
      <w:pPr>
        <w:pStyle w:val="Text"/>
        <w:numPr>
          <w:ilvl w:val="0"/>
          <w:numId w:val="11"/>
        </w:numPr>
        <w:jc w:val="left"/>
        <w:rPr>
          <w:color w:val="auto"/>
        </w:rPr>
      </w:pPr>
      <w:r w:rsidRPr="005A6D27">
        <w:rPr>
          <w:color w:val="auto"/>
        </w:rPr>
        <w:t xml:space="preserve">0.4 g/kg given daily for </w:t>
      </w:r>
      <w:r w:rsidR="0000276B" w:rsidRPr="005A6D27">
        <w:rPr>
          <w:color w:val="auto"/>
        </w:rPr>
        <w:t>2</w:t>
      </w:r>
      <w:r w:rsidR="005A6D27" w:rsidRPr="005A6D27">
        <w:rPr>
          <w:color w:val="auto"/>
        </w:rPr>
        <w:t>–</w:t>
      </w:r>
      <w:r w:rsidR="0000276B" w:rsidRPr="005A6D27">
        <w:rPr>
          <w:color w:val="auto"/>
        </w:rPr>
        <w:t>5</w:t>
      </w:r>
      <w:r w:rsidRPr="005A6D27">
        <w:rPr>
          <w:color w:val="auto"/>
        </w:rPr>
        <w:t xml:space="preserve"> days.</w:t>
      </w:r>
      <w:r w:rsidR="005A6D27" w:rsidRPr="005A6D27">
        <w:rPr>
          <w:color w:val="auto"/>
        </w:rPr>
        <w:t xml:space="preserve"> </w:t>
      </w:r>
      <w:r w:rsidR="007B729F" w:rsidRPr="005A6D27">
        <w:rPr>
          <w:color w:val="auto"/>
        </w:rPr>
        <w:t>The treatment can be repeated if relapse occurs.</w:t>
      </w:r>
    </w:p>
    <w:p w14:paraId="4F049F2B" w14:textId="77777777" w:rsidR="009D07F9" w:rsidRDefault="009D07F9" w:rsidP="009D07F9">
      <w:pPr>
        <w:pStyle w:val="Text"/>
        <w:ind w:left="360"/>
        <w:jc w:val="left"/>
        <w:rPr>
          <w:color w:val="auto"/>
        </w:rPr>
      </w:pPr>
    </w:p>
    <w:p w14:paraId="7F5B2396" w14:textId="77777777" w:rsidR="007E5D11" w:rsidRPr="007E5D11" w:rsidRDefault="007E5D11" w:rsidP="007E5D11">
      <w:pPr>
        <w:pStyle w:val="Text"/>
        <w:jc w:val="left"/>
        <w:rPr>
          <w:i/>
          <w:color w:val="auto"/>
        </w:rPr>
      </w:pPr>
      <w:r w:rsidRPr="007E5D11">
        <w:rPr>
          <w:i/>
          <w:color w:val="auto"/>
        </w:rPr>
        <w:t>Guillain Barré syndrome:</w:t>
      </w:r>
    </w:p>
    <w:p w14:paraId="66713D88" w14:textId="77777777" w:rsidR="007B729F" w:rsidRDefault="007B729F" w:rsidP="009D07F9">
      <w:pPr>
        <w:pStyle w:val="Text"/>
        <w:jc w:val="left"/>
        <w:rPr>
          <w:color w:val="auto"/>
        </w:rPr>
      </w:pPr>
      <w:r>
        <w:rPr>
          <w:color w:val="auto"/>
        </w:rPr>
        <w:t xml:space="preserve">0.4 g/kg/day </w:t>
      </w:r>
      <w:r w:rsidR="001E4A1C">
        <w:rPr>
          <w:color w:val="auto"/>
        </w:rPr>
        <w:t>over 5 days</w:t>
      </w:r>
      <w:r w:rsidR="009D07F9">
        <w:rPr>
          <w:color w:val="auto"/>
        </w:rPr>
        <w:t xml:space="preserve"> (possible repeat of dosing in case of relapse)</w:t>
      </w:r>
      <w:r w:rsidR="001E4A1C">
        <w:rPr>
          <w:color w:val="auto"/>
        </w:rPr>
        <w:t>.</w:t>
      </w:r>
    </w:p>
    <w:p w14:paraId="215276FB" w14:textId="77777777" w:rsidR="009D07F9" w:rsidRDefault="009D07F9" w:rsidP="009D07F9">
      <w:pPr>
        <w:pStyle w:val="Text"/>
        <w:ind w:left="360"/>
        <w:jc w:val="left"/>
        <w:rPr>
          <w:color w:val="auto"/>
        </w:rPr>
      </w:pPr>
    </w:p>
    <w:p w14:paraId="73AB3639" w14:textId="77777777" w:rsidR="007E5D11" w:rsidRPr="007E5D11" w:rsidRDefault="007E5D11" w:rsidP="007E5D11">
      <w:pPr>
        <w:pStyle w:val="Text"/>
        <w:jc w:val="left"/>
        <w:rPr>
          <w:i/>
          <w:color w:val="auto"/>
        </w:rPr>
      </w:pPr>
      <w:r w:rsidRPr="007E5D11">
        <w:rPr>
          <w:i/>
          <w:color w:val="auto"/>
        </w:rPr>
        <w:t>Kawasaki disease:</w:t>
      </w:r>
    </w:p>
    <w:p w14:paraId="0A4C2E02" w14:textId="77777777" w:rsidR="007B729F" w:rsidRDefault="007B729F" w:rsidP="009D07F9">
      <w:pPr>
        <w:pStyle w:val="Text"/>
        <w:rPr>
          <w:color w:val="auto"/>
        </w:rPr>
      </w:pPr>
      <w:r>
        <w:rPr>
          <w:color w:val="auto"/>
        </w:rPr>
        <w:t>2</w:t>
      </w:r>
      <w:r w:rsidR="002E784C">
        <w:rPr>
          <w:color w:val="auto"/>
        </w:rPr>
        <w:t>.0</w:t>
      </w:r>
      <w:r>
        <w:rPr>
          <w:color w:val="auto"/>
        </w:rPr>
        <w:t xml:space="preserve"> g/kg should be administered as a single dose. Patients should receive concomitant treatment with acetylsalicylic acid.</w:t>
      </w:r>
    </w:p>
    <w:p w14:paraId="278DBB99" w14:textId="77777777" w:rsidR="009D07F9" w:rsidRDefault="009D07F9" w:rsidP="009D07F9">
      <w:pPr>
        <w:pStyle w:val="Text"/>
        <w:ind w:left="360"/>
        <w:rPr>
          <w:color w:val="auto"/>
        </w:rPr>
      </w:pPr>
    </w:p>
    <w:p w14:paraId="0362B141" w14:textId="2FC40F4F" w:rsidR="00365558" w:rsidRDefault="00365558" w:rsidP="00365558">
      <w:pPr>
        <w:pStyle w:val="Text"/>
        <w:jc w:val="left"/>
        <w:rPr>
          <w:i/>
          <w:color w:val="auto"/>
        </w:rPr>
      </w:pPr>
      <w:r w:rsidRPr="00365558">
        <w:rPr>
          <w:i/>
          <w:color w:val="auto"/>
        </w:rPr>
        <w:t>Chronic inflammatory demyelinating poly</w:t>
      </w:r>
      <w:r w:rsidR="00BC3C84">
        <w:rPr>
          <w:i/>
          <w:color w:val="auto"/>
        </w:rPr>
        <w:t>radiculo</w:t>
      </w:r>
      <w:r w:rsidRPr="00365558">
        <w:rPr>
          <w:i/>
          <w:color w:val="auto"/>
        </w:rPr>
        <w:t>neuropathy (CIDP):</w:t>
      </w:r>
    </w:p>
    <w:p w14:paraId="7C36C7D4" w14:textId="0457C024" w:rsidR="009D07F9" w:rsidRDefault="009D07F9" w:rsidP="009D07F9">
      <w:pPr>
        <w:pStyle w:val="Text"/>
        <w:spacing w:after="0"/>
        <w:rPr>
          <w:color w:val="auto"/>
        </w:rPr>
      </w:pPr>
      <w:r>
        <w:rPr>
          <w:color w:val="auto"/>
        </w:rPr>
        <w:t>Starting dose: 2</w:t>
      </w:r>
      <w:r w:rsidR="005A6D27">
        <w:rPr>
          <w:color w:val="auto"/>
        </w:rPr>
        <w:t xml:space="preserve"> </w:t>
      </w:r>
      <w:r>
        <w:rPr>
          <w:color w:val="auto"/>
        </w:rPr>
        <w:t>g/kg divided over 2</w:t>
      </w:r>
      <w:r w:rsidR="005A6D27">
        <w:rPr>
          <w:color w:val="auto"/>
        </w:rPr>
        <w:t>–</w:t>
      </w:r>
      <w:r>
        <w:rPr>
          <w:color w:val="auto"/>
        </w:rPr>
        <w:t>5 consecutive days.</w:t>
      </w:r>
    </w:p>
    <w:p w14:paraId="5C9CF937" w14:textId="77777777" w:rsidR="009D07F9" w:rsidRDefault="009D07F9" w:rsidP="009D07F9">
      <w:pPr>
        <w:pStyle w:val="Text"/>
        <w:spacing w:before="0" w:after="0"/>
        <w:rPr>
          <w:color w:val="auto"/>
        </w:rPr>
      </w:pPr>
      <w:r>
        <w:rPr>
          <w:color w:val="auto"/>
        </w:rPr>
        <w:t>Maintenance doses:</w:t>
      </w:r>
    </w:p>
    <w:p w14:paraId="0D118DB9" w14:textId="3572DDCD" w:rsidR="009D07F9" w:rsidRDefault="009D07F9" w:rsidP="009D07F9">
      <w:pPr>
        <w:pStyle w:val="Text"/>
        <w:spacing w:before="0" w:after="0"/>
        <w:rPr>
          <w:color w:val="auto"/>
        </w:rPr>
      </w:pPr>
      <w:r>
        <w:rPr>
          <w:color w:val="auto"/>
        </w:rPr>
        <w:t>1 g/kg over 1</w:t>
      </w:r>
      <w:r w:rsidR="005A6D27">
        <w:rPr>
          <w:color w:val="auto"/>
        </w:rPr>
        <w:t>–</w:t>
      </w:r>
      <w:r>
        <w:rPr>
          <w:color w:val="auto"/>
        </w:rPr>
        <w:t>2 consecutive days every 3 weeks.</w:t>
      </w:r>
    </w:p>
    <w:p w14:paraId="7576A468" w14:textId="77777777" w:rsidR="009D07F9" w:rsidRDefault="009D07F9" w:rsidP="009D07F9">
      <w:pPr>
        <w:pStyle w:val="Text"/>
        <w:spacing w:before="0" w:after="0"/>
        <w:rPr>
          <w:color w:val="auto"/>
        </w:rPr>
      </w:pPr>
      <w:r>
        <w:rPr>
          <w:color w:val="auto"/>
        </w:rPr>
        <w:t>The treatment effect should be evaluated after each cycle; if no treatment effect is seen after 6 months, the treatment should be discontinued.</w:t>
      </w:r>
    </w:p>
    <w:p w14:paraId="638E1E71" w14:textId="77777777" w:rsidR="009D07F9" w:rsidRDefault="009D07F9" w:rsidP="009D07F9">
      <w:pPr>
        <w:pStyle w:val="Text"/>
        <w:spacing w:before="0" w:after="0"/>
        <w:rPr>
          <w:color w:val="auto"/>
        </w:rPr>
      </w:pPr>
      <w:r>
        <w:rPr>
          <w:color w:val="auto"/>
        </w:rPr>
        <w:t>If the treatment is effective, long-term treatment should be subject to the physician’s discretion based upon the patient response and maintenance response. The dosing and intervals may have to be adapted according to the individual course of the disease.</w:t>
      </w:r>
    </w:p>
    <w:p w14:paraId="5E32CE35" w14:textId="77777777" w:rsidR="009D07F9" w:rsidRDefault="009D07F9" w:rsidP="009D07F9">
      <w:pPr>
        <w:pStyle w:val="Text"/>
        <w:spacing w:before="0" w:after="0"/>
      </w:pPr>
    </w:p>
    <w:p w14:paraId="5E1DBC71" w14:textId="77777777" w:rsidR="009D07F9" w:rsidRPr="00F41117" w:rsidRDefault="009D07F9" w:rsidP="009D07F9">
      <w:pPr>
        <w:pStyle w:val="Text"/>
        <w:spacing w:before="0" w:after="120"/>
        <w:rPr>
          <w:i/>
          <w:color w:val="auto"/>
        </w:rPr>
      </w:pPr>
      <w:r w:rsidRPr="00F41117">
        <w:rPr>
          <w:i/>
          <w:color w:val="auto"/>
        </w:rPr>
        <w:t>Multifocal Motor Neuropathy (MMN)</w:t>
      </w:r>
      <w:r w:rsidR="00F91455">
        <w:rPr>
          <w:i/>
          <w:color w:val="auto"/>
        </w:rPr>
        <w:t>:</w:t>
      </w:r>
    </w:p>
    <w:p w14:paraId="35D31830" w14:textId="16145EB7" w:rsidR="009D07F9" w:rsidRDefault="009D07F9" w:rsidP="009D07F9">
      <w:pPr>
        <w:pStyle w:val="Text"/>
        <w:spacing w:before="0" w:after="0"/>
        <w:rPr>
          <w:color w:val="auto"/>
        </w:rPr>
      </w:pPr>
      <w:r>
        <w:rPr>
          <w:color w:val="auto"/>
        </w:rPr>
        <w:t>Starting dose: 2</w:t>
      </w:r>
      <w:r w:rsidR="005A6D27">
        <w:rPr>
          <w:color w:val="auto"/>
        </w:rPr>
        <w:t xml:space="preserve"> </w:t>
      </w:r>
      <w:r>
        <w:rPr>
          <w:color w:val="auto"/>
        </w:rPr>
        <w:t xml:space="preserve">g/kg </w:t>
      </w:r>
      <w:r w:rsidR="0000276B">
        <w:rPr>
          <w:color w:val="auto"/>
        </w:rPr>
        <w:t>divided</w:t>
      </w:r>
      <w:r>
        <w:rPr>
          <w:color w:val="auto"/>
        </w:rPr>
        <w:t xml:space="preserve"> over 2</w:t>
      </w:r>
      <w:r w:rsidR="005A6D27">
        <w:rPr>
          <w:color w:val="auto"/>
        </w:rPr>
        <w:t>–</w:t>
      </w:r>
      <w:r>
        <w:rPr>
          <w:color w:val="auto"/>
        </w:rPr>
        <w:t>5 consecutive days</w:t>
      </w:r>
    </w:p>
    <w:p w14:paraId="7E53BACE" w14:textId="77777777" w:rsidR="009D07F9" w:rsidRDefault="009D07F9" w:rsidP="009D07F9">
      <w:pPr>
        <w:pStyle w:val="Text"/>
        <w:spacing w:before="0" w:after="0"/>
        <w:rPr>
          <w:color w:val="auto"/>
        </w:rPr>
      </w:pPr>
      <w:r>
        <w:rPr>
          <w:color w:val="auto"/>
        </w:rPr>
        <w:t>Maintenance dose: 1 g/kg every 2 to 4 weeks or 2 g/kg every 4 to 8 weeks.</w:t>
      </w:r>
    </w:p>
    <w:p w14:paraId="6D327B14" w14:textId="77777777" w:rsidR="009D07F9" w:rsidRDefault="009D07F9" w:rsidP="009D07F9">
      <w:pPr>
        <w:pStyle w:val="Text"/>
        <w:spacing w:before="0" w:after="0"/>
        <w:rPr>
          <w:color w:val="auto"/>
        </w:rPr>
      </w:pPr>
      <w:r>
        <w:rPr>
          <w:color w:val="auto"/>
        </w:rPr>
        <w:t xml:space="preserve">The treatment effect should be evaluated </w:t>
      </w:r>
      <w:r w:rsidR="00BB77E7">
        <w:rPr>
          <w:color w:val="auto"/>
        </w:rPr>
        <w:t xml:space="preserve">after </w:t>
      </w:r>
      <w:r>
        <w:rPr>
          <w:color w:val="auto"/>
        </w:rPr>
        <w:t>each cycle; if no treatment effect is seen after 6 months, the treatment should be discontinued.</w:t>
      </w:r>
    </w:p>
    <w:p w14:paraId="44A88D0D" w14:textId="77777777" w:rsidR="009D07F9" w:rsidRDefault="009D07F9" w:rsidP="009D07F9">
      <w:pPr>
        <w:pStyle w:val="Text"/>
        <w:spacing w:before="0" w:after="0"/>
        <w:rPr>
          <w:color w:val="auto"/>
        </w:rPr>
      </w:pPr>
      <w:r>
        <w:rPr>
          <w:color w:val="auto"/>
        </w:rPr>
        <w:t>If the treatment is effective, long-term treatment should be subject to the physician’s discretion based upon the patient’s response and maintenance response. The dosing and intervals may have to be adapted according to the individual course of the disease.</w:t>
      </w:r>
    </w:p>
    <w:p w14:paraId="1137FD06" w14:textId="77777777" w:rsidR="00F91455" w:rsidRDefault="00F91455" w:rsidP="00A56201">
      <w:pPr>
        <w:pStyle w:val="Text"/>
        <w:spacing w:before="0" w:after="120"/>
        <w:rPr>
          <w:i/>
          <w:color w:val="auto"/>
          <w:lang w:val="en-US"/>
        </w:rPr>
      </w:pPr>
    </w:p>
    <w:p w14:paraId="2BF285BB" w14:textId="77777777" w:rsidR="00A56201" w:rsidRPr="00A56201" w:rsidRDefault="00A56201" w:rsidP="00A56201">
      <w:pPr>
        <w:pStyle w:val="Text"/>
        <w:spacing w:before="0" w:after="120"/>
        <w:rPr>
          <w:i/>
          <w:color w:val="auto"/>
          <w:lang w:val="en-US"/>
        </w:rPr>
      </w:pPr>
      <w:r w:rsidRPr="00A56201">
        <w:rPr>
          <w:i/>
          <w:color w:val="auto"/>
          <w:lang w:val="en-US"/>
        </w:rPr>
        <w:t>Dermatomyositis (DM</w:t>
      </w:r>
      <w:r w:rsidR="00F91455">
        <w:rPr>
          <w:i/>
          <w:color w:val="auto"/>
          <w:lang w:val="en-US"/>
        </w:rPr>
        <w:t>):</w:t>
      </w:r>
      <w:r w:rsidRPr="00A56201">
        <w:rPr>
          <w:i/>
          <w:color w:val="auto"/>
          <w:lang w:val="en-US"/>
        </w:rPr>
        <w:t xml:space="preserve"> </w:t>
      </w:r>
    </w:p>
    <w:p w14:paraId="12011367" w14:textId="26825492" w:rsidR="00A56201" w:rsidRDefault="00A56201" w:rsidP="00A56201">
      <w:pPr>
        <w:pStyle w:val="Text"/>
        <w:spacing w:after="0"/>
        <w:rPr>
          <w:color w:val="auto"/>
        </w:rPr>
      </w:pPr>
      <w:r>
        <w:rPr>
          <w:color w:val="auto"/>
        </w:rPr>
        <w:t>2</w:t>
      </w:r>
      <w:r w:rsidR="005A6D27">
        <w:rPr>
          <w:color w:val="auto"/>
        </w:rPr>
        <w:t xml:space="preserve"> </w:t>
      </w:r>
      <w:r>
        <w:rPr>
          <w:color w:val="auto"/>
        </w:rPr>
        <w:t>g/kg given divided in equal doses over 2</w:t>
      </w:r>
      <w:r w:rsidR="005A6D27">
        <w:rPr>
          <w:color w:val="auto"/>
        </w:rPr>
        <w:t>–</w:t>
      </w:r>
      <w:r>
        <w:rPr>
          <w:color w:val="auto"/>
        </w:rPr>
        <w:t>5 consecutive days every 4 weeks.</w:t>
      </w:r>
    </w:p>
    <w:p w14:paraId="4E52204C" w14:textId="77777777" w:rsidR="00A56201" w:rsidRDefault="00A56201" w:rsidP="001F494A">
      <w:pPr>
        <w:rPr>
          <w:color w:val="auto"/>
        </w:rPr>
      </w:pPr>
    </w:p>
    <w:p w14:paraId="3FADE132" w14:textId="77777777" w:rsidR="001F494A" w:rsidRPr="00046123" w:rsidRDefault="001F494A" w:rsidP="007F5209">
      <w:pPr>
        <w:jc w:val="both"/>
        <w:rPr>
          <w:color w:val="auto"/>
        </w:rPr>
      </w:pPr>
      <w:r w:rsidRPr="00046123">
        <w:rPr>
          <w:color w:val="auto"/>
        </w:rPr>
        <w:t xml:space="preserve">The treatment effect should be evaluated after each cycle; if no treatment effect is seen after 6 months, the treatment should be discontinued. </w:t>
      </w:r>
    </w:p>
    <w:p w14:paraId="0CA50FFD" w14:textId="77777777" w:rsidR="007E35DC" w:rsidRDefault="001F494A" w:rsidP="007F5209">
      <w:pPr>
        <w:jc w:val="both"/>
        <w:rPr>
          <w:color w:val="auto"/>
        </w:rPr>
      </w:pPr>
      <w:r w:rsidRPr="00046123">
        <w:rPr>
          <w:color w:val="auto"/>
        </w:rPr>
        <w:t>If the treatment is effective, long-term treatment should be subject to the physician’s discretion based upon the patient’s response and maintenance response</w:t>
      </w:r>
      <w:r w:rsidR="008C665B">
        <w:rPr>
          <w:color w:val="auto"/>
        </w:rPr>
        <w:t xml:space="preserve"> (see Section 5.1)</w:t>
      </w:r>
      <w:r w:rsidRPr="00046123">
        <w:rPr>
          <w:color w:val="auto"/>
        </w:rPr>
        <w:t>. The dosing and intervals may have to be adapted</w:t>
      </w:r>
      <w:r>
        <w:rPr>
          <w:color w:val="auto"/>
        </w:rPr>
        <w:t xml:space="preserve"> </w:t>
      </w:r>
      <w:r w:rsidRPr="00046123">
        <w:rPr>
          <w:color w:val="auto"/>
        </w:rPr>
        <w:t>according to the individual course of the disease.</w:t>
      </w:r>
      <w:r w:rsidR="007E35DC">
        <w:rPr>
          <w:color w:val="auto"/>
        </w:rPr>
        <w:t xml:space="preserve"> </w:t>
      </w:r>
    </w:p>
    <w:p w14:paraId="336301B3" w14:textId="77777777" w:rsidR="009D07F9" w:rsidRPr="00242C35" w:rsidRDefault="009D07F9" w:rsidP="009D07F9">
      <w:pPr>
        <w:pStyle w:val="Text"/>
        <w:spacing w:before="0" w:after="0"/>
        <w:rPr>
          <w:color w:val="auto"/>
          <w:lang w:val="en-US"/>
        </w:rPr>
      </w:pPr>
    </w:p>
    <w:p w14:paraId="784510FB" w14:textId="77777777" w:rsidR="007B729F" w:rsidRDefault="007B729F">
      <w:pPr>
        <w:pStyle w:val="Text"/>
        <w:jc w:val="left"/>
        <w:rPr>
          <w:color w:val="auto"/>
        </w:rPr>
      </w:pPr>
      <w:r>
        <w:rPr>
          <w:color w:val="auto"/>
        </w:rPr>
        <w:t>The dosage recommendations are summarised in the following table:</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2126"/>
        <w:gridCol w:w="3544"/>
      </w:tblGrid>
      <w:tr w:rsidR="009D07F9" w:rsidRPr="00BA2E1B" w14:paraId="766004E2" w14:textId="77777777" w:rsidTr="002160FF">
        <w:trPr>
          <w:tblHeader/>
        </w:trPr>
        <w:tc>
          <w:tcPr>
            <w:tcW w:w="3331" w:type="dxa"/>
            <w:tcBorders>
              <w:top w:val="double" w:sz="6" w:space="0" w:color="auto"/>
              <w:left w:val="double" w:sz="6" w:space="0" w:color="auto"/>
              <w:bottom w:val="double" w:sz="6" w:space="0" w:color="auto"/>
            </w:tcBorders>
          </w:tcPr>
          <w:p w14:paraId="0CA96F0A" w14:textId="77777777" w:rsidR="009D07F9" w:rsidRPr="00C566E4" w:rsidRDefault="009D07F9" w:rsidP="002160FF">
            <w:pPr>
              <w:pStyle w:val="Tabelle"/>
              <w:jc w:val="center"/>
              <w:rPr>
                <w:b/>
                <w:color w:val="auto"/>
              </w:rPr>
            </w:pPr>
            <w:r w:rsidRPr="00C566E4">
              <w:rPr>
                <w:b/>
                <w:color w:val="auto"/>
              </w:rPr>
              <w:t>Indication</w:t>
            </w:r>
          </w:p>
        </w:tc>
        <w:tc>
          <w:tcPr>
            <w:tcW w:w="2126" w:type="dxa"/>
            <w:tcBorders>
              <w:top w:val="double" w:sz="6" w:space="0" w:color="auto"/>
              <w:bottom w:val="double" w:sz="6" w:space="0" w:color="auto"/>
            </w:tcBorders>
          </w:tcPr>
          <w:p w14:paraId="5B157DDD" w14:textId="77777777" w:rsidR="009D07F9" w:rsidRPr="00C566E4" w:rsidRDefault="009D07F9" w:rsidP="002160FF">
            <w:pPr>
              <w:pStyle w:val="Tabelle"/>
              <w:jc w:val="center"/>
              <w:rPr>
                <w:b/>
                <w:color w:val="auto"/>
              </w:rPr>
            </w:pPr>
            <w:r w:rsidRPr="00C566E4">
              <w:rPr>
                <w:b/>
                <w:color w:val="auto"/>
              </w:rPr>
              <w:t>Dose</w:t>
            </w:r>
          </w:p>
        </w:tc>
        <w:tc>
          <w:tcPr>
            <w:tcW w:w="3544" w:type="dxa"/>
            <w:tcBorders>
              <w:top w:val="double" w:sz="6" w:space="0" w:color="auto"/>
              <w:bottom w:val="double" w:sz="6" w:space="0" w:color="auto"/>
              <w:right w:val="double" w:sz="6" w:space="0" w:color="auto"/>
            </w:tcBorders>
          </w:tcPr>
          <w:p w14:paraId="628A8011" w14:textId="77777777" w:rsidR="009D07F9" w:rsidRPr="00C566E4" w:rsidRDefault="009D07F9" w:rsidP="002160FF">
            <w:pPr>
              <w:pStyle w:val="Tabelle"/>
              <w:jc w:val="center"/>
              <w:rPr>
                <w:b/>
                <w:color w:val="auto"/>
              </w:rPr>
            </w:pPr>
            <w:r w:rsidRPr="00C566E4">
              <w:rPr>
                <w:b/>
                <w:color w:val="auto"/>
              </w:rPr>
              <w:t>Frequency of injections</w:t>
            </w:r>
          </w:p>
        </w:tc>
      </w:tr>
      <w:tr w:rsidR="00795631" w:rsidRPr="00BA2E1B" w14:paraId="041223C6" w14:textId="77777777" w:rsidTr="00DA5BAD">
        <w:trPr>
          <w:cantSplit/>
          <w:trHeight w:val="428"/>
        </w:trPr>
        <w:tc>
          <w:tcPr>
            <w:tcW w:w="9001" w:type="dxa"/>
            <w:gridSpan w:val="3"/>
            <w:tcBorders>
              <w:top w:val="double" w:sz="6" w:space="0" w:color="auto"/>
              <w:left w:val="double" w:sz="6" w:space="0" w:color="auto"/>
              <w:bottom w:val="single" w:sz="4" w:space="0" w:color="auto"/>
              <w:right w:val="double" w:sz="6" w:space="0" w:color="auto"/>
            </w:tcBorders>
          </w:tcPr>
          <w:p w14:paraId="25E2ACF6" w14:textId="49CB5DA6" w:rsidR="00795631" w:rsidRPr="00BA2E1B" w:rsidRDefault="00795631" w:rsidP="002160FF">
            <w:pPr>
              <w:pStyle w:val="Tabelle"/>
              <w:rPr>
                <w:color w:val="auto"/>
              </w:rPr>
            </w:pPr>
            <w:r w:rsidRPr="00117FD2">
              <w:rPr>
                <w:color w:val="auto"/>
                <w:u w:val="single"/>
              </w:rPr>
              <w:t>Replacement therapy</w:t>
            </w:r>
            <w:r w:rsidRPr="00BA2E1B">
              <w:rPr>
                <w:color w:val="auto"/>
              </w:rPr>
              <w:t xml:space="preserve"> </w:t>
            </w:r>
          </w:p>
        </w:tc>
      </w:tr>
      <w:tr w:rsidR="009D07F9" w:rsidRPr="00BA2E1B" w14:paraId="1916D798" w14:textId="77777777" w:rsidTr="009D07F9">
        <w:trPr>
          <w:cantSplit/>
          <w:trHeight w:val="1823"/>
        </w:trPr>
        <w:tc>
          <w:tcPr>
            <w:tcW w:w="3331" w:type="dxa"/>
            <w:tcBorders>
              <w:top w:val="single" w:sz="4" w:space="0" w:color="auto"/>
              <w:left w:val="double" w:sz="6" w:space="0" w:color="auto"/>
              <w:bottom w:val="single" w:sz="4" w:space="0" w:color="auto"/>
            </w:tcBorders>
          </w:tcPr>
          <w:p w14:paraId="46F32491" w14:textId="77777777" w:rsidR="009D07F9" w:rsidRPr="00BA2E1B" w:rsidRDefault="009D07F9" w:rsidP="002160FF">
            <w:pPr>
              <w:pStyle w:val="Tabelle"/>
              <w:rPr>
                <w:color w:val="auto"/>
              </w:rPr>
            </w:pPr>
            <w:r>
              <w:rPr>
                <w:color w:val="auto"/>
              </w:rPr>
              <w:lastRenderedPageBreak/>
              <w:t>Primary immunodeficiency syndromes</w:t>
            </w:r>
          </w:p>
        </w:tc>
        <w:tc>
          <w:tcPr>
            <w:tcW w:w="2126" w:type="dxa"/>
            <w:tcBorders>
              <w:top w:val="single" w:sz="4" w:space="0" w:color="auto"/>
              <w:bottom w:val="single" w:sz="4" w:space="0" w:color="auto"/>
            </w:tcBorders>
          </w:tcPr>
          <w:p w14:paraId="78CEAD02" w14:textId="77777777" w:rsidR="009D07F9" w:rsidRDefault="009D07F9" w:rsidP="002160FF">
            <w:pPr>
              <w:pStyle w:val="Tabelle"/>
              <w:spacing w:after="0"/>
              <w:rPr>
                <w:color w:val="auto"/>
              </w:rPr>
            </w:pPr>
            <w:r>
              <w:rPr>
                <w:color w:val="auto"/>
              </w:rPr>
              <w:t>Starting dose:</w:t>
            </w:r>
          </w:p>
          <w:p w14:paraId="2BD019DE" w14:textId="70F32074" w:rsidR="009D07F9" w:rsidRDefault="009D07F9" w:rsidP="002160FF">
            <w:pPr>
              <w:pStyle w:val="Tabelle"/>
              <w:spacing w:after="0"/>
              <w:rPr>
                <w:color w:val="auto"/>
              </w:rPr>
            </w:pPr>
            <w:r>
              <w:rPr>
                <w:color w:val="auto"/>
              </w:rPr>
              <w:t>0.4</w:t>
            </w:r>
            <w:r w:rsidR="005A6D27">
              <w:rPr>
                <w:color w:val="auto"/>
              </w:rPr>
              <w:t xml:space="preserve"> – </w:t>
            </w:r>
            <w:r>
              <w:rPr>
                <w:color w:val="auto"/>
              </w:rPr>
              <w:t>0.8 g/kg</w:t>
            </w:r>
          </w:p>
          <w:p w14:paraId="697D221A" w14:textId="77777777" w:rsidR="009D07F9" w:rsidRDefault="009D07F9" w:rsidP="002160FF">
            <w:pPr>
              <w:pStyle w:val="Tabelle"/>
              <w:spacing w:after="0"/>
              <w:rPr>
                <w:color w:val="auto"/>
              </w:rPr>
            </w:pPr>
          </w:p>
          <w:p w14:paraId="00923217" w14:textId="77777777" w:rsidR="009D07F9" w:rsidRDefault="009D07F9" w:rsidP="002160FF">
            <w:pPr>
              <w:pStyle w:val="Tabelle"/>
              <w:spacing w:after="0"/>
              <w:rPr>
                <w:color w:val="auto"/>
              </w:rPr>
            </w:pPr>
            <w:proofErr w:type="spellStart"/>
            <w:r>
              <w:rPr>
                <w:color w:val="auto"/>
              </w:rPr>
              <w:t>Maintainance</w:t>
            </w:r>
            <w:proofErr w:type="spellEnd"/>
            <w:r>
              <w:rPr>
                <w:color w:val="auto"/>
              </w:rPr>
              <w:t xml:space="preserve"> dose:</w:t>
            </w:r>
          </w:p>
          <w:p w14:paraId="03984C63" w14:textId="3A3103EB" w:rsidR="009D07F9" w:rsidRPr="00BA2E1B" w:rsidRDefault="009D07F9" w:rsidP="002160FF">
            <w:pPr>
              <w:pStyle w:val="Tabelle"/>
              <w:spacing w:after="0"/>
              <w:rPr>
                <w:color w:val="auto"/>
              </w:rPr>
            </w:pPr>
            <w:r>
              <w:rPr>
                <w:color w:val="auto"/>
              </w:rPr>
              <w:t>0.2</w:t>
            </w:r>
            <w:r w:rsidR="005A6D27">
              <w:rPr>
                <w:color w:val="auto"/>
              </w:rPr>
              <w:t xml:space="preserve"> – </w:t>
            </w:r>
            <w:r>
              <w:rPr>
                <w:color w:val="auto"/>
              </w:rPr>
              <w:t>0.8 g/kg</w:t>
            </w:r>
          </w:p>
        </w:tc>
        <w:tc>
          <w:tcPr>
            <w:tcW w:w="3544" w:type="dxa"/>
            <w:tcBorders>
              <w:top w:val="single" w:sz="4" w:space="0" w:color="auto"/>
              <w:bottom w:val="single" w:sz="4" w:space="0" w:color="auto"/>
              <w:right w:val="double" w:sz="6" w:space="0" w:color="auto"/>
            </w:tcBorders>
          </w:tcPr>
          <w:p w14:paraId="04B73601" w14:textId="77777777" w:rsidR="00BB77E7" w:rsidRDefault="00BB77E7" w:rsidP="002160FF">
            <w:pPr>
              <w:pStyle w:val="Tabelle"/>
              <w:rPr>
                <w:color w:val="auto"/>
              </w:rPr>
            </w:pPr>
          </w:p>
          <w:p w14:paraId="039F80A4" w14:textId="057018EE" w:rsidR="009D07F9" w:rsidRPr="00BD365B" w:rsidRDefault="009D07F9" w:rsidP="002160FF">
            <w:pPr>
              <w:pStyle w:val="Tabelle"/>
              <w:rPr>
                <w:color w:val="auto"/>
                <w:sz w:val="16"/>
                <w:lang w:val="en-US"/>
              </w:rPr>
            </w:pPr>
            <w:r w:rsidRPr="00BA2E1B">
              <w:rPr>
                <w:color w:val="auto"/>
              </w:rPr>
              <w:t xml:space="preserve">every 3 </w:t>
            </w:r>
            <w:r w:rsidR="005A6D27">
              <w:rPr>
                <w:color w:val="auto"/>
              </w:rPr>
              <w:t>–</w:t>
            </w:r>
            <w:r w:rsidRPr="00BA2E1B">
              <w:rPr>
                <w:color w:val="auto"/>
              </w:rPr>
              <w:t xml:space="preserve"> 4 weeks</w:t>
            </w:r>
          </w:p>
        </w:tc>
      </w:tr>
      <w:tr w:rsidR="009D07F9" w:rsidRPr="00BA2E1B" w14:paraId="4C6ECB06" w14:textId="77777777" w:rsidTr="002160FF">
        <w:trPr>
          <w:cantSplit/>
          <w:trHeight w:val="655"/>
        </w:trPr>
        <w:tc>
          <w:tcPr>
            <w:tcW w:w="3331" w:type="dxa"/>
            <w:tcBorders>
              <w:top w:val="single" w:sz="4" w:space="0" w:color="auto"/>
              <w:left w:val="double" w:sz="6" w:space="0" w:color="auto"/>
              <w:bottom w:val="single" w:sz="12" w:space="0" w:color="auto"/>
            </w:tcBorders>
          </w:tcPr>
          <w:p w14:paraId="1C599338" w14:textId="77777777" w:rsidR="009D07F9" w:rsidRDefault="009D07F9" w:rsidP="002160FF">
            <w:pPr>
              <w:pStyle w:val="Tabelle"/>
              <w:rPr>
                <w:color w:val="auto"/>
              </w:rPr>
            </w:pPr>
            <w:r>
              <w:rPr>
                <w:color w:val="auto"/>
              </w:rPr>
              <w:t>Secondary immunodeficiencies (as defined in 4.1.)</w:t>
            </w:r>
          </w:p>
        </w:tc>
        <w:tc>
          <w:tcPr>
            <w:tcW w:w="2126" w:type="dxa"/>
            <w:tcBorders>
              <w:top w:val="single" w:sz="4" w:space="0" w:color="auto"/>
              <w:bottom w:val="single" w:sz="12" w:space="0" w:color="auto"/>
            </w:tcBorders>
          </w:tcPr>
          <w:p w14:paraId="3371959E" w14:textId="3A5DDBDD" w:rsidR="009D07F9" w:rsidRDefault="009D07F9" w:rsidP="002160FF">
            <w:pPr>
              <w:pStyle w:val="Tabelle"/>
              <w:spacing w:after="0"/>
              <w:rPr>
                <w:color w:val="auto"/>
              </w:rPr>
            </w:pPr>
            <w:r w:rsidRPr="00743235">
              <w:rPr>
                <w:color w:val="auto"/>
              </w:rPr>
              <w:t>0.2</w:t>
            </w:r>
            <w:r w:rsidR="005A6D27">
              <w:rPr>
                <w:color w:val="auto"/>
              </w:rPr>
              <w:t xml:space="preserve"> </w:t>
            </w:r>
            <w:r w:rsidRPr="00743235">
              <w:rPr>
                <w:color w:val="auto"/>
              </w:rPr>
              <w:t>–</w:t>
            </w:r>
            <w:r w:rsidR="005A6D27">
              <w:rPr>
                <w:color w:val="auto"/>
              </w:rPr>
              <w:t xml:space="preserve"> </w:t>
            </w:r>
            <w:r w:rsidRPr="00743235">
              <w:rPr>
                <w:color w:val="auto"/>
              </w:rPr>
              <w:t>0.4 g/kg</w:t>
            </w:r>
          </w:p>
        </w:tc>
        <w:tc>
          <w:tcPr>
            <w:tcW w:w="3544" w:type="dxa"/>
            <w:tcBorders>
              <w:top w:val="single" w:sz="4" w:space="0" w:color="auto"/>
              <w:bottom w:val="single" w:sz="12" w:space="0" w:color="auto"/>
              <w:right w:val="double" w:sz="6" w:space="0" w:color="auto"/>
            </w:tcBorders>
          </w:tcPr>
          <w:p w14:paraId="2785A099" w14:textId="38790BAC" w:rsidR="009D07F9" w:rsidRPr="00BA2E1B" w:rsidRDefault="009D07F9" w:rsidP="002160FF">
            <w:pPr>
              <w:pStyle w:val="Tabelle"/>
              <w:rPr>
                <w:color w:val="auto"/>
              </w:rPr>
            </w:pPr>
            <w:r w:rsidRPr="00BA2E1B">
              <w:rPr>
                <w:color w:val="auto"/>
              </w:rPr>
              <w:t xml:space="preserve">every 3 </w:t>
            </w:r>
            <w:r w:rsidR="005A6D27">
              <w:rPr>
                <w:color w:val="auto"/>
              </w:rPr>
              <w:t>–</w:t>
            </w:r>
            <w:r w:rsidRPr="00BA2E1B">
              <w:rPr>
                <w:color w:val="auto"/>
              </w:rPr>
              <w:t xml:space="preserve"> 4 weeks</w:t>
            </w:r>
          </w:p>
        </w:tc>
      </w:tr>
      <w:tr w:rsidR="00795631" w:rsidRPr="009346A6" w14:paraId="660E17F7" w14:textId="77777777" w:rsidTr="00DA5BAD">
        <w:trPr>
          <w:cantSplit/>
          <w:trHeight w:val="655"/>
        </w:trPr>
        <w:tc>
          <w:tcPr>
            <w:tcW w:w="9001" w:type="dxa"/>
            <w:gridSpan w:val="3"/>
            <w:tcBorders>
              <w:top w:val="single" w:sz="4" w:space="0" w:color="auto"/>
              <w:left w:val="double" w:sz="6" w:space="0" w:color="auto"/>
              <w:bottom w:val="single" w:sz="12" w:space="0" w:color="auto"/>
              <w:right w:val="double" w:sz="6" w:space="0" w:color="auto"/>
            </w:tcBorders>
          </w:tcPr>
          <w:p w14:paraId="506C4E8B" w14:textId="4A94F717" w:rsidR="00795631" w:rsidRPr="0000276B" w:rsidRDefault="00795631" w:rsidP="00906B2D">
            <w:pPr>
              <w:pStyle w:val="Tabelle"/>
              <w:rPr>
                <w:color w:val="auto"/>
                <w:lang w:val="fr-FR"/>
              </w:rPr>
            </w:pPr>
            <w:proofErr w:type="spellStart"/>
            <w:r w:rsidRPr="0000276B">
              <w:rPr>
                <w:color w:val="auto"/>
                <w:lang w:val="fr-FR"/>
              </w:rPr>
              <w:t>Measles</w:t>
            </w:r>
            <w:proofErr w:type="spellEnd"/>
            <w:r w:rsidRPr="0000276B">
              <w:rPr>
                <w:color w:val="auto"/>
                <w:lang w:val="fr-FR"/>
              </w:rPr>
              <w:t xml:space="preserve"> </w:t>
            </w:r>
            <w:proofErr w:type="spellStart"/>
            <w:r w:rsidRPr="0000276B">
              <w:rPr>
                <w:color w:val="auto"/>
                <w:lang w:val="fr-FR"/>
              </w:rPr>
              <w:t>pre</w:t>
            </w:r>
            <w:proofErr w:type="spellEnd"/>
            <w:r w:rsidRPr="0000276B">
              <w:rPr>
                <w:color w:val="auto"/>
                <w:lang w:val="fr-FR"/>
              </w:rPr>
              <w:t xml:space="preserve">/post </w:t>
            </w:r>
            <w:proofErr w:type="spellStart"/>
            <w:r w:rsidRPr="0000276B">
              <w:rPr>
                <w:color w:val="auto"/>
                <w:lang w:val="fr-FR"/>
              </w:rPr>
              <w:t>exposure</w:t>
            </w:r>
            <w:proofErr w:type="spellEnd"/>
            <w:r w:rsidRPr="0000276B">
              <w:rPr>
                <w:color w:val="auto"/>
                <w:lang w:val="fr-FR"/>
              </w:rPr>
              <w:t xml:space="preserve"> </w:t>
            </w:r>
            <w:proofErr w:type="spellStart"/>
            <w:proofErr w:type="gramStart"/>
            <w:r w:rsidRPr="0000276B">
              <w:rPr>
                <w:color w:val="auto"/>
                <w:lang w:val="fr-FR"/>
              </w:rPr>
              <w:t>prophylaxis</w:t>
            </w:r>
            <w:proofErr w:type="spellEnd"/>
            <w:r w:rsidRPr="0000276B">
              <w:rPr>
                <w:color w:val="auto"/>
                <w:lang w:val="fr-FR"/>
              </w:rPr>
              <w:t>:</w:t>
            </w:r>
            <w:proofErr w:type="gramEnd"/>
            <w:r w:rsidRPr="0000276B">
              <w:rPr>
                <w:color w:val="auto"/>
                <w:lang w:val="fr-FR"/>
              </w:rPr>
              <w:t xml:space="preserve"> </w:t>
            </w:r>
          </w:p>
        </w:tc>
      </w:tr>
      <w:tr w:rsidR="0000276B" w:rsidRPr="00B046EE" w14:paraId="23E0DD96" w14:textId="77777777" w:rsidTr="0000276B">
        <w:trPr>
          <w:cantSplit/>
          <w:trHeight w:val="655"/>
        </w:trPr>
        <w:tc>
          <w:tcPr>
            <w:tcW w:w="3331" w:type="dxa"/>
            <w:tcBorders>
              <w:top w:val="single" w:sz="4" w:space="0" w:color="auto"/>
              <w:left w:val="double" w:sz="6" w:space="0" w:color="auto"/>
              <w:bottom w:val="single" w:sz="12" w:space="0" w:color="auto"/>
              <w:right w:val="single" w:sz="4" w:space="0" w:color="auto"/>
            </w:tcBorders>
          </w:tcPr>
          <w:p w14:paraId="45BA4708" w14:textId="77777777" w:rsidR="0000276B" w:rsidRPr="0000276B" w:rsidRDefault="0000276B" w:rsidP="00906B2D">
            <w:pPr>
              <w:pStyle w:val="Tabelle"/>
              <w:rPr>
                <w:color w:val="auto"/>
                <w:lang w:val="fr-FR"/>
              </w:rPr>
            </w:pPr>
            <w:r w:rsidRPr="0000276B">
              <w:rPr>
                <w:color w:val="auto"/>
                <w:lang w:val="fr-FR"/>
              </w:rPr>
              <w:t>Post-</w:t>
            </w:r>
            <w:proofErr w:type="spellStart"/>
            <w:r w:rsidRPr="0000276B">
              <w:rPr>
                <w:color w:val="auto"/>
                <w:lang w:val="fr-FR"/>
              </w:rPr>
              <w:t>exposure</w:t>
            </w:r>
            <w:proofErr w:type="spellEnd"/>
            <w:r w:rsidRPr="0000276B">
              <w:rPr>
                <w:color w:val="auto"/>
                <w:lang w:val="fr-FR"/>
              </w:rPr>
              <w:t xml:space="preserve"> </w:t>
            </w:r>
            <w:proofErr w:type="spellStart"/>
            <w:r w:rsidRPr="0000276B">
              <w:rPr>
                <w:color w:val="auto"/>
                <w:lang w:val="fr-FR"/>
              </w:rPr>
              <w:t>prophylaxis</w:t>
            </w:r>
            <w:proofErr w:type="spellEnd"/>
            <w:r w:rsidRPr="0000276B">
              <w:rPr>
                <w:color w:val="auto"/>
                <w:lang w:val="fr-FR"/>
              </w:rPr>
              <w:t xml:space="preserve"> in susceptible patients</w:t>
            </w:r>
          </w:p>
        </w:tc>
        <w:tc>
          <w:tcPr>
            <w:tcW w:w="2126" w:type="dxa"/>
            <w:tcBorders>
              <w:top w:val="single" w:sz="4" w:space="0" w:color="auto"/>
              <w:left w:val="single" w:sz="4" w:space="0" w:color="auto"/>
              <w:bottom w:val="single" w:sz="12" w:space="0" w:color="auto"/>
              <w:right w:val="single" w:sz="4" w:space="0" w:color="auto"/>
            </w:tcBorders>
          </w:tcPr>
          <w:p w14:paraId="1643D1C1" w14:textId="77777777" w:rsidR="0000276B" w:rsidRPr="0000276B" w:rsidRDefault="0000276B" w:rsidP="00906B2D">
            <w:pPr>
              <w:pStyle w:val="Tabelle"/>
              <w:spacing w:after="0"/>
              <w:rPr>
                <w:color w:val="auto"/>
              </w:rPr>
            </w:pPr>
            <w:r w:rsidRPr="0000276B">
              <w:rPr>
                <w:color w:val="auto"/>
              </w:rPr>
              <w:t>0.4 g/kg</w:t>
            </w:r>
          </w:p>
        </w:tc>
        <w:tc>
          <w:tcPr>
            <w:tcW w:w="3544" w:type="dxa"/>
            <w:tcBorders>
              <w:top w:val="single" w:sz="4" w:space="0" w:color="auto"/>
              <w:left w:val="single" w:sz="4" w:space="0" w:color="auto"/>
              <w:bottom w:val="single" w:sz="12" w:space="0" w:color="auto"/>
              <w:right w:val="double" w:sz="6" w:space="0" w:color="auto"/>
            </w:tcBorders>
          </w:tcPr>
          <w:p w14:paraId="42D29668" w14:textId="77777777" w:rsidR="0000276B" w:rsidRPr="0000276B" w:rsidRDefault="0000276B" w:rsidP="00906B2D">
            <w:pPr>
              <w:pStyle w:val="Tabelle"/>
              <w:rPr>
                <w:color w:val="auto"/>
              </w:rPr>
            </w:pPr>
            <w:r w:rsidRPr="0000276B">
              <w:rPr>
                <w:color w:val="auto"/>
              </w:rPr>
              <w:t xml:space="preserve">As soon as possible and within 6 days, possibly to be repeated once after 2 weeks to maintain the measles antibody serum level &gt; 240 </w:t>
            </w:r>
            <w:proofErr w:type="spellStart"/>
            <w:r w:rsidRPr="0000276B">
              <w:rPr>
                <w:color w:val="auto"/>
              </w:rPr>
              <w:t>mIU</w:t>
            </w:r>
            <w:proofErr w:type="spellEnd"/>
            <w:r w:rsidRPr="0000276B">
              <w:rPr>
                <w:color w:val="auto"/>
              </w:rPr>
              <w:t>/ml</w:t>
            </w:r>
          </w:p>
        </w:tc>
      </w:tr>
      <w:tr w:rsidR="0000276B" w:rsidRPr="00B046EE" w14:paraId="4B7D3D8A" w14:textId="77777777" w:rsidTr="0000276B">
        <w:trPr>
          <w:cantSplit/>
          <w:trHeight w:val="655"/>
        </w:trPr>
        <w:tc>
          <w:tcPr>
            <w:tcW w:w="3331" w:type="dxa"/>
            <w:tcBorders>
              <w:top w:val="single" w:sz="4" w:space="0" w:color="auto"/>
              <w:left w:val="double" w:sz="6" w:space="0" w:color="auto"/>
              <w:bottom w:val="single" w:sz="12" w:space="0" w:color="auto"/>
              <w:right w:val="single" w:sz="4" w:space="0" w:color="auto"/>
            </w:tcBorders>
          </w:tcPr>
          <w:p w14:paraId="04A19A1D" w14:textId="77777777" w:rsidR="0000276B" w:rsidRPr="0000276B" w:rsidRDefault="0000276B" w:rsidP="00906B2D">
            <w:pPr>
              <w:pStyle w:val="Tabelle"/>
              <w:rPr>
                <w:color w:val="auto"/>
              </w:rPr>
            </w:pPr>
            <w:r w:rsidRPr="0000276B">
              <w:rPr>
                <w:color w:val="auto"/>
              </w:rPr>
              <w:t>Post-exposure prophylaxis in PID/SID patients</w:t>
            </w:r>
          </w:p>
        </w:tc>
        <w:tc>
          <w:tcPr>
            <w:tcW w:w="2126" w:type="dxa"/>
            <w:tcBorders>
              <w:top w:val="single" w:sz="4" w:space="0" w:color="auto"/>
              <w:left w:val="single" w:sz="4" w:space="0" w:color="auto"/>
              <w:bottom w:val="single" w:sz="12" w:space="0" w:color="auto"/>
              <w:right w:val="single" w:sz="4" w:space="0" w:color="auto"/>
            </w:tcBorders>
          </w:tcPr>
          <w:p w14:paraId="46A1FD1D" w14:textId="77777777" w:rsidR="0000276B" w:rsidRPr="0000276B" w:rsidRDefault="0000276B" w:rsidP="00906B2D">
            <w:pPr>
              <w:pStyle w:val="Tabelle"/>
              <w:spacing w:after="0"/>
              <w:rPr>
                <w:color w:val="auto"/>
              </w:rPr>
            </w:pPr>
            <w:r w:rsidRPr="0000276B">
              <w:rPr>
                <w:color w:val="auto"/>
              </w:rPr>
              <w:t>0.4 g/kg</w:t>
            </w:r>
          </w:p>
        </w:tc>
        <w:tc>
          <w:tcPr>
            <w:tcW w:w="3544" w:type="dxa"/>
            <w:tcBorders>
              <w:top w:val="single" w:sz="4" w:space="0" w:color="auto"/>
              <w:left w:val="single" w:sz="4" w:space="0" w:color="auto"/>
              <w:bottom w:val="single" w:sz="12" w:space="0" w:color="auto"/>
              <w:right w:val="double" w:sz="6" w:space="0" w:color="auto"/>
            </w:tcBorders>
          </w:tcPr>
          <w:p w14:paraId="4F780C50" w14:textId="77777777" w:rsidR="0000276B" w:rsidRPr="0000276B" w:rsidRDefault="0000276B" w:rsidP="00906B2D">
            <w:pPr>
              <w:pStyle w:val="Tabelle"/>
              <w:rPr>
                <w:color w:val="auto"/>
              </w:rPr>
            </w:pPr>
            <w:r w:rsidRPr="0000276B">
              <w:rPr>
                <w:color w:val="auto"/>
              </w:rPr>
              <w:t>In addition to maintenance therapy, given as an extra dose within 6 days of exposure</w:t>
            </w:r>
          </w:p>
        </w:tc>
      </w:tr>
      <w:tr w:rsidR="0000276B" w:rsidRPr="005771FA" w14:paraId="469D44AF" w14:textId="77777777" w:rsidTr="0000276B">
        <w:trPr>
          <w:cantSplit/>
          <w:trHeight w:val="655"/>
        </w:trPr>
        <w:tc>
          <w:tcPr>
            <w:tcW w:w="3331" w:type="dxa"/>
            <w:tcBorders>
              <w:top w:val="single" w:sz="4" w:space="0" w:color="auto"/>
              <w:left w:val="double" w:sz="6" w:space="0" w:color="auto"/>
              <w:bottom w:val="single" w:sz="12" w:space="0" w:color="auto"/>
              <w:right w:val="single" w:sz="4" w:space="0" w:color="auto"/>
            </w:tcBorders>
          </w:tcPr>
          <w:p w14:paraId="1EAEC73A" w14:textId="77777777" w:rsidR="0000276B" w:rsidRPr="0000276B" w:rsidRDefault="0000276B" w:rsidP="00906B2D">
            <w:pPr>
              <w:pStyle w:val="Tabelle"/>
              <w:rPr>
                <w:color w:val="auto"/>
              </w:rPr>
            </w:pPr>
            <w:r w:rsidRPr="0000276B">
              <w:rPr>
                <w:color w:val="auto"/>
              </w:rPr>
              <w:t>Pre-exposure prophylaxis in PID/SID patients</w:t>
            </w:r>
          </w:p>
        </w:tc>
        <w:tc>
          <w:tcPr>
            <w:tcW w:w="2126" w:type="dxa"/>
            <w:tcBorders>
              <w:top w:val="single" w:sz="4" w:space="0" w:color="auto"/>
              <w:left w:val="single" w:sz="4" w:space="0" w:color="auto"/>
              <w:bottom w:val="single" w:sz="12" w:space="0" w:color="auto"/>
              <w:right w:val="single" w:sz="4" w:space="0" w:color="auto"/>
            </w:tcBorders>
          </w:tcPr>
          <w:p w14:paraId="321DCBB8" w14:textId="77777777" w:rsidR="0000276B" w:rsidRPr="0000276B" w:rsidRDefault="0000276B" w:rsidP="00906B2D">
            <w:pPr>
              <w:pStyle w:val="Tabelle"/>
              <w:spacing w:after="0"/>
              <w:rPr>
                <w:color w:val="auto"/>
              </w:rPr>
            </w:pPr>
            <w:r w:rsidRPr="0000276B">
              <w:rPr>
                <w:color w:val="auto"/>
              </w:rPr>
              <w:t>0.53 g/kg</w:t>
            </w:r>
          </w:p>
        </w:tc>
        <w:tc>
          <w:tcPr>
            <w:tcW w:w="3544" w:type="dxa"/>
            <w:tcBorders>
              <w:top w:val="single" w:sz="4" w:space="0" w:color="auto"/>
              <w:left w:val="single" w:sz="4" w:space="0" w:color="auto"/>
              <w:bottom w:val="single" w:sz="12" w:space="0" w:color="auto"/>
              <w:right w:val="double" w:sz="6" w:space="0" w:color="auto"/>
            </w:tcBorders>
          </w:tcPr>
          <w:p w14:paraId="3C1D2EE8" w14:textId="77777777" w:rsidR="0000276B" w:rsidRPr="0000276B" w:rsidRDefault="0000276B" w:rsidP="00906B2D">
            <w:pPr>
              <w:pStyle w:val="Tabelle"/>
              <w:rPr>
                <w:color w:val="auto"/>
              </w:rPr>
            </w:pPr>
            <w:r w:rsidRPr="0000276B">
              <w:rPr>
                <w:color w:val="auto"/>
              </w:rPr>
              <w:t>If a patient receives a maintenance dose of less than 0.53 g/kg every 3–4 weeks, this dose should be increased once to at least 0.53 g/kg.</w:t>
            </w:r>
          </w:p>
        </w:tc>
      </w:tr>
      <w:tr w:rsidR="00795631" w:rsidRPr="00BA2E1B" w14:paraId="195CD906" w14:textId="77777777" w:rsidTr="00DA5BAD">
        <w:trPr>
          <w:cantSplit/>
          <w:trHeight w:val="375"/>
        </w:trPr>
        <w:tc>
          <w:tcPr>
            <w:tcW w:w="9001" w:type="dxa"/>
            <w:gridSpan w:val="3"/>
            <w:tcBorders>
              <w:top w:val="single" w:sz="12" w:space="0" w:color="auto"/>
              <w:left w:val="double" w:sz="6" w:space="0" w:color="auto"/>
              <w:bottom w:val="single" w:sz="4" w:space="0" w:color="auto"/>
              <w:right w:val="double" w:sz="6" w:space="0" w:color="auto"/>
            </w:tcBorders>
          </w:tcPr>
          <w:p w14:paraId="652D63DC" w14:textId="12159F18" w:rsidR="00795631" w:rsidRPr="00BA2E1B" w:rsidRDefault="00795631" w:rsidP="002160FF">
            <w:pPr>
              <w:pStyle w:val="Tabelle"/>
              <w:rPr>
                <w:color w:val="auto"/>
              </w:rPr>
            </w:pPr>
            <w:r w:rsidRPr="00117FD2">
              <w:rPr>
                <w:color w:val="auto"/>
                <w:u w:val="single"/>
              </w:rPr>
              <w:t>Immunomodulation:</w:t>
            </w:r>
          </w:p>
        </w:tc>
      </w:tr>
      <w:tr w:rsidR="009D07F9" w:rsidRPr="00BA2E1B" w14:paraId="3A535931" w14:textId="77777777" w:rsidTr="002160FF">
        <w:trPr>
          <w:cantSplit/>
          <w:trHeight w:val="375"/>
        </w:trPr>
        <w:tc>
          <w:tcPr>
            <w:tcW w:w="3331" w:type="dxa"/>
            <w:tcBorders>
              <w:top w:val="single" w:sz="4" w:space="0" w:color="auto"/>
              <w:left w:val="double" w:sz="6" w:space="0" w:color="auto"/>
              <w:bottom w:val="single" w:sz="4" w:space="0" w:color="auto"/>
            </w:tcBorders>
          </w:tcPr>
          <w:p w14:paraId="19FE7673" w14:textId="77777777" w:rsidR="009D07F9" w:rsidRPr="00117FD2" w:rsidRDefault="009D07F9" w:rsidP="002160FF">
            <w:pPr>
              <w:pStyle w:val="Tabelle"/>
              <w:rPr>
                <w:color w:val="auto"/>
                <w:u w:val="single"/>
              </w:rPr>
            </w:pPr>
            <w:r w:rsidRPr="00BA2E1B">
              <w:rPr>
                <w:color w:val="auto"/>
                <w:lang w:val="de-AT"/>
              </w:rPr>
              <w:t xml:space="preserve">Primary immune </w:t>
            </w:r>
            <w:proofErr w:type="spellStart"/>
            <w:r w:rsidRPr="00BA2E1B">
              <w:rPr>
                <w:color w:val="auto"/>
                <w:lang w:val="de-AT"/>
              </w:rPr>
              <w:t>thrombocytopenia</w:t>
            </w:r>
            <w:proofErr w:type="spellEnd"/>
          </w:p>
        </w:tc>
        <w:tc>
          <w:tcPr>
            <w:tcW w:w="2126" w:type="dxa"/>
            <w:tcBorders>
              <w:top w:val="single" w:sz="4" w:space="0" w:color="auto"/>
              <w:bottom w:val="single" w:sz="4" w:space="0" w:color="auto"/>
            </w:tcBorders>
          </w:tcPr>
          <w:p w14:paraId="5212E741" w14:textId="16C19B94" w:rsidR="009D07F9" w:rsidRDefault="009D07F9" w:rsidP="002160FF">
            <w:pPr>
              <w:pStyle w:val="Tabelle"/>
              <w:spacing w:after="0"/>
              <w:rPr>
                <w:color w:val="auto"/>
              </w:rPr>
            </w:pPr>
            <w:r w:rsidRPr="00BA2E1B">
              <w:rPr>
                <w:color w:val="auto"/>
              </w:rPr>
              <w:t>0.8 – 1 g/kg</w:t>
            </w:r>
          </w:p>
          <w:p w14:paraId="3A3E7B69" w14:textId="77777777" w:rsidR="009D07F9" w:rsidRPr="00BA2E1B" w:rsidRDefault="009D07F9" w:rsidP="002160FF">
            <w:pPr>
              <w:pStyle w:val="Tabelle"/>
              <w:spacing w:before="0" w:after="0"/>
              <w:rPr>
                <w:color w:val="auto"/>
              </w:rPr>
            </w:pPr>
            <w:r w:rsidRPr="00BA2E1B">
              <w:rPr>
                <w:color w:val="auto"/>
              </w:rPr>
              <w:br/>
            </w:r>
            <w:r>
              <w:rPr>
                <w:color w:val="auto"/>
              </w:rPr>
              <w:t>o</w:t>
            </w:r>
            <w:r w:rsidRPr="00BA2E1B">
              <w:rPr>
                <w:color w:val="auto"/>
              </w:rPr>
              <w:t>r</w:t>
            </w:r>
            <w:r w:rsidRPr="00BA2E1B">
              <w:rPr>
                <w:color w:val="auto"/>
              </w:rPr>
              <w:br/>
            </w:r>
          </w:p>
          <w:p w14:paraId="0A1139F9" w14:textId="77777777" w:rsidR="009D07F9" w:rsidRPr="00743235" w:rsidRDefault="009D07F9" w:rsidP="002160FF">
            <w:pPr>
              <w:pStyle w:val="Tabelle"/>
              <w:spacing w:after="0"/>
              <w:rPr>
                <w:color w:val="auto"/>
              </w:rPr>
            </w:pPr>
            <w:r w:rsidRPr="00BA2E1B">
              <w:rPr>
                <w:color w:val="auto"/>
              </w:rPr>
              <w:t>0.4 g/kg/d</w:t>
            </w:r>
          </w:p>
        </w:tc>
        <w:tc>
          <w:tcPr>
            <w:tcW w:w="3544" w:type="dxa"/>
            <w:tcBorders>
              <w:top w:val="single" w:sz="4" w:space="0" w:color="auto"/>
              <w:bottom w:val="single" w:sz="4" w:space="0" w:color="auto"/>
              <w:right w:val="double" w:sz="6" w:space="0" w:color="auto"/>
            </w:tcBorders>
          </w:tcPr>
          <w:p w14:paraId="51E9BC3B" w14:textId="77777777" w:rsidR="009D07F9" w:rsidRDefault="009D07F9" w:rsidP="002160FF">
            <w:pPr>
              <w:pStyle w:val="Tabelle"/>
              <w:spacing w:after="0"/>
              <w:rPr>
                <w:color w:val="auto"/>
              </w:rPr>
            </w:pPr>
            <w:r>
              <w:rPr>
                <w:color w:val="auto"/>
              </w:rPr>
              <w:t>o</w:t>
            </w:r>
            <w:r w:rsidRPr="00BA2E1B">
              <w:rPr>
                <w:color w:val="auto"/>
              </w:rPr>
              <w:t>n day 1, possibly repeated once within 3 days</w:t>
            </w:r>
            <w:r w:rsidRPr="00BA2E1B">
              <w:rPr>
                <w:color w:val="auto"/>
              </w:rPr>
              <w:br/>
            </w:r>
          </w:p>
          <w:p w14:paraId="0EE6F4CF" w14:textId="77777777" w:rsidR="009D07F9" w:rsidRPr="00BA2E1B" w:rsidRDefault="009D07F9" w:rsidP="002160FF">
            <w:pPr>
              <w:pStyle w:val="Tabelle"/>
              <w:spacing w:before="0" w:after="0"/>
              <w:rPr>
                <w:color w:val="auto"/>
              </w:rPr>
            </w:pPr>
          </w:p>
          <w:p w14:paraId="4D4A66B7" w14:textId="1C7A4B4B" w:rsidR="009D07F9" w:rsidRPr="00BA2E1B" w:rsidRDefault="009D07F9" w:rsidP="009D07F9">
            <w:pPr>
              <w:pStyle w:val="Tabelle"/>
              <w:rPr>
                <w:color w:val="auto"/>
              </w:rPr>
            </w:pPr>
            <w:r w:rsidRPr="00BA2E1B">
              <w:rPr>
                <w:color w:val="auto"/>
              </w:rPr>
              <w:t>for 2</w:t>
            </w:r>
            <w:r w:rsidR="005A6D27">
              <w:rPr>
                <w:color w:val="auto"/>
              </w:rPr>
              <w:t xml:space="preserve"> – </w:t>
            </w:r>
            <w:r w:rsidRPr="00BA2E1B">
              <w:rPr>
                <w:color w:val="auto"/>
              </w:rPr>
              <w:t>5 days</w:t>
            </w:r>
          </w:p>
        </w:tc>
      </w:tr>
      <w:tr w:rsidR="009D07F9" w:rsidRPr="00BA2E1B" w14:paraId="575FD2A0" w14:textId="77777777" w:rsidTr="002160FF">
        <w:trPr>
          <w:cantSplit/>
          <w:trHeight w:val="375"/>
        </w:trPr>
        <w:tc>
          <w:tcPr>
            <w:tcW w:w="3331" w:type="dxa"/>
            <w:tcBorders>
              <w:top w:val="single" w:sz="4" w:space="0" w:color="auto"/>
              <w:left w:val="double" w:sz="6" w:space="0" w:color="auto"/>
              <w:bottom w:val="single" w:sz="4" w:space="0" w:color="auto"/>
            </w:tcBorders>
          </w:tcPr>
          <w:p w14:paraId="2A91770E" w14:textId="77777777" w:rsidR="009D07F9" w:rsidRPr="00117FD2" w:rsidRDefault="009D07F9" w:rsidP="002160FF">
            <w:pPr>
              <w:pStyle w:val="Tabelle"/>
              <w:rPr>
                <w:color w:val="auto"/>
                <w:u w:val="single"/>
              </w:rPr>
            </w:pPr>
            <w:r w:rsidRPr="00BA2E1B">
              <w:rPr>
                <w:color w:val="auto"/>
              </w:rPr>
              <w:t>Guillain Barré syndrome</w:t>
            </w:r>
          </w:p>
        </w:tc>
        <w:tc>
          <w:tcPr>
            <w:tcW w:w="2126" w:type="dxa"/>
            <w:tcBorders>
              <w:top w:val="single" w:sz="4" w:space="0" w:color="auto"/>
              <w:bottom w:val="single" w:sz="4" w:space="0" w:color="auto"/>
            </w:tcBorders>
          </w:tcPr>
          <w:p w14:paraId="29912E27" w14:textId="77777777" w:rsidR="009D07F9" w:rsidRPr="00743235" w:rsidRDefault="009D07F9" w:rsidP="002160FF">
            <w:pPr>
              <w:pStyle w:val="Tabelle"/>
              <w:spacing w:after="0"/>
              <w:rPr>
                <w:color w:val="auto"/>
              </w:rPr>
            </w:pPr>
            <w:r w:rsidRPr="00BA2E1B">
              <w:rPr>
                <w:color w:val="auto"/>
              </w:rPr>
              <w:t>0.4 g/kg/d</w:t>
            </w:r>
          </w:p>
        </w:tc>
        <w:tc>
          <w:tcPr>
            <w:tcW w:w="3544" w:type="dxa"/>
            <w:tcBorders>
              <w:top w:val="single" w:sz="4" w:space="0" w:color="auto"/>
              <w:bottom w:val="single" w:sz="4" w:space="0" w:color="auto"/>
              <w:right w:val="double" w:sz="6" w:space="0" w:color="auto"/>
            </w:tcBorders>
          </w:tcPr>
          <w:p w14:paraId="41A44E62" w14:textId="77777777" w:rsidR="009D07F9" w:rsidRPr="00BA2E1B" w:rsidRDefault="009D07F9" w:rsidP="002160FF">
            <w:pPr>
              <w:pStyle w:val="Tabelle"/>
              <w:rPr>
                <w:color w:val="auto"/>
              </w:rPr>
            </w:pPr>
            <w:r w:rsidRPr="00BA2E1B">
              <w:rPr>
                <w:color w:val="auto"/>
              </w:rPr>
              <w:t>for 5 days</w:t>
            </w:r>
          </w:p>
        </w:tc>
      </w:tr>
      <w:tr w:rsidR="009D07F9" w:rsidRPr="00BA2E1B" w14:paraId="59B054ED" w14:textId="77777777" w:rsidTr="002160FF">
        <w:trPr>
          <w:cantSplit/>
          <w:trHeight w:val="375"/>
        </w:trPr>
        <w:tc>
          <w:tcPr>
            <w:tcW w:w="3331" w:type="dxa"/>
            <w:tcBorders>
              <w:top w:val="single" w:sz="4" w:space="0" w:color="auto"/>
              <w:left w:val="double" w:sz="6" w:space="0" w:color="auto"/>
              <w:bottom w:val="single" w:sz="4" w:space="0" w:color="auto"/>
            </w:tcBorders>
          </w:tcPr>
          <w:p w14:paraId="122039D7" w14:textId="77777777" w:rsidR="009D07F9" w:rsidRPr="00BA2E1B" w:rsidRDefault="009D07F9" w:rsidP="002160FF">
            <w:pPr>
              <w:pStyle w:val="Tabelle"/>
              <w:rPr>
                <w:color w:val="auto"/>
              </w:rPr>
            </w:pPr>
            <w:r w:rsidRPr="00BA2E1B">
              <w:rPr>
                <w:color w:val="auto"/>
              </w:rPr>
              <w:t>Kawasaki disease</w:t>
            </w:r>
          </w:p>
        </w:tc>
        <w:tc>
          <w:tcPr>
            <w:tcW w:w="2126" w:type="dxa"/>
            <w:tcBorders>
              <w:top w:val="single" w:sz="4" w:space="0" w:color="auto"/>
              <w:bottom w:val="single" w:sz="4" w:space="0" w:color="auto"/>
            </w:tcBorders>
          </w:tcPr>
          <w:p w14:paraId="7957AE4A" w14:textId="77777777" w:rsidR="009D07F9" w:rsidRPr="00BA2E1B" w:rsidRDefault="009D07F9" w:rsidP="002160FF">
            <w:pPr>
              <w:pStyle w:val="Tabelle"/>
              <w:spacing w:after="0"/>
              <w:rPr>
                <w:color w:val="auto"/>
              </w:rPr>
            </w:pPr>
            <w:r w:rsidRPr="00BA2E1B">
              <w:rPr>
                <w:color w:val="auto"/>
              </w:rPr>
              <w:t>2 g/kg</w:t>
            </w:r>
          </w:p>
        </w:tc>
        <w:tc>
          <w:tcPr>
            <w:tcW w:w="3544" w:type="dxa"/>
            <w:tcBorders>
              <w:top w:val="single" w:sz="4" w:space="0" w:color="auto"/>
              <w:bottom w:val="single" w:sz="4" w:space="0" w:color="auto"/>
              <w:right w:val="double" w:sz="6" w:space="0" w:color="auto"/>
            </w:tcBorders>
          </w:tcPr>
          <w:p w14:paraId="33C64E23" w14:textId="77777777" w:rsidR="009D07F9" w:rsidRPr="00BA2E1B" w:rsidRDefault="009D07F9" w:rsidP="002160FF">
            <w:pPr>
              <w:pStyle w:val="Tabelle"/>
              <w:rPr>
                <w:color w:val="auto"/>
              </w:rPr>
            </w:pPr>
            <w:r w:rsidRPr="00BA2E1B">
              <w:rPr>
                <w:color w:val="auto"/>
              </w:rPr>
              <w:t>in one dose in association with acetylsalicylic acid</w:t>
            </w:r>
          </w:p>
        </w:tc>
      </w:tr>
      <w:tr w:rsidR="009D07F9" w:rsidRPr="00BA2E1B" w14:paraId="6FB1EABA" w14:textId="77777777" w:rsidTr="009D07F9">
        <w:trPr>
          <w:cantSplit/>
          <w:trHeight w:val="375"/>
        </w:trPr>
        <w:tc>
          <w:tcPr>
            <w:tcW w:w="3331" w:type="dxa"/>
            <w:tcBorders>
              <w:top w:val="single" w:sz="4" w:space="0" w:color="auto"/>
              <w:left w:val="double" w:sz="6" w:space="0" w:color="auto"/>
              <w:bottom w:val="single" w:sz="4" w:space="0" w:color="auto"/>
            </w:tcBorders>
          </w:tcPr>
          <w:p w14:paraId="5CB6FB7C" w14:textId="77777777" w:rsidR="009D07F9" w:rsidRPr="00BA2E1B" w:rsidRDefault="009D07F9" w:rsidP="002160FF">
            <w:pPr>
              <w:pStyle w:val="Tabelle"/>
              <w:rPr>
                <w:color w:val="auto"/>
              </w:rPr>
            </w:pPr>
            <w:r w:rsidRPr="00365558">
              <w:rPr>
                <w:color w:val="auto"/>
              </w:rPr>
              <w:t>Chronic inflammatory demyelinating poly</w:t>
            </w:r>
            <w:r>
              <w:rPr>
                <w:color w:val="auto"/>
              </w:rPr>
              <w:t>radiculo</w:t>
            </w:r>
            <w:r w:rsidRPr="00365558">
              <w:rPr>
                <w:color w:val="auto"/>
              </w:rPr>
              <w:t>neuropathy (CIDP)</w:t>
            </w:r>
          </w:p>
        </w:tc>
        <w:tc>
          <w:tcPr>
            <w:tcW w:w="2126" w:type="dxa"/>
            <w:tcBorders>
              <w:top w:val="single" w:sz="4" w:space="0" w:color="auto"/>
              <w:bottom w:val="single" w:sz="4" w:space="0" w:color="auto"/>
            </w:tcBorders>
          </w:tcPr>
          <w:p w14:paraId="72DAB9C2" w14:textId="77777777" w:rsidR="009D07F9" w:rsidRDefault="009D07F9" w:rsidP="002160FF">
            <w:pPr>
              <w:pStyle w:val="Tabelle"/>
              <w:spacing w:after="0"/>
              <w:rPr>
                <w:color w:val="auto"/>
              </w:rPr>
            </w:pPr>
            <w:r>
              <w:rPr>
                <w:color w:val="auto"/>
              </w:rPr>
              <w:t>Starting dose:</w:t>
            </w:r>
          </w:p>
          <w:p w14:paraId="4C152F07" w14:textId="77777777" w:rsidR="009D07F9" w:rsidRDefault="009D07F9" w:rsidP="002160FF">
            <w:pPr>
              <w:pStyle w:val="Tabelle"/>
              <w:spacing w:after="0"/>
              <w:rPr>
                <w:color w:val="auto"/>
              </w:rPr>
            </w:pPr>
            <w:r>
              <w:rPr>
                <w:color w:val="auto"/>
              </w:rPr>
              <w:t>2 g/kg</w:t>
            </w:r>
          </w:p>
          <w:p w14:paraId="63B9FA94" w14:textId="77777777" w:rsidR="009D07F9" w:rsidRDefault="009D07F9" w:rsidP="002160FF">
            <w:pPr>
              <w:pStyle w:val="Tabelle"/>
              <w:spacing w:after="0"/>
              <w:rPr>
                <w:color w:val="auto"/>
              </w:rPr>
            </w:pPr>
          </w:p>
          <w:p w14:paraId="70CEF434" w14:textId="77777777" w:rsidR="009D07F9" w:rsidRDefault="009D07F9" w:rsidP="002160FF">
            <w:pPr>
              <w:pStyle w:val="Tabelle"/>
              <w:spacing w:after="0"/>
              <w:rPr>
                <w:color w:val="auto"/>
              </w:rPr>
            </w:pPr>
            <w:proofErr w:type="spellStart"/>
            <w:r>
              <w:rPr>
                <w:color w:val="auto"/>
              </w:rPr>
              <w:t>Maintainance</w:t>
            </w:r>
            <w:proofErr w:type="spellEnd"/>
            <w:r>
              <w:rPr>
                <w:color w:val="auto"/>
              </w:rPr>
              <w:t xml:space="preserve"> dose:</w:t>
            </w:r>
          </w:p>
          <w:p w14:paraId="4E7B5312" w14:textId="77777777" w:rsidR="009D07F9" w:rsidRPr="00BA2E1B" w:rsidRDefault="009D07F9" w:rsidP="002160FF">
            <w:pPr>
              <w:pStyle w:val="Tabelle"/>
              <w:spacing w:after="0"/>
              <w:rPr>
                <w:color w:val="auto"/>
              </w:rPr>
            </w:pPr>
            <w:r>
              <w:rPr>
                <w:color w:val="auto"/>
              </w:rPr>
              <w:t>1 g/kg</w:t>
            </w:r>
          </w:p>
        </w:tc>
        <w:tc>
          <w:tcPr>
            <w:tcW w:w="3544" w:type="dxa"/>
            <w:tcBorders>
              <w:top w:val="single" w:sz="4" w:space="0" w:color="auto"/>
              <w:bottom w:val="single" w:sz="4" w:space="0" w:color="auto"/>
              <w:right w:val="double" w:sz="6" w:space="0" w:color="auto"/>
            </w:tcBorders>
          </w:tcPr>
          <w:p w14:paraId="6C2EADD5" w14:textId="77777777" w:rsidR="009D07F9" w:rsidRDefault="009D07F9" w:rsidP="002160FF">
            <w:pPr>
              <w:pStyle w:val="Tabelle"/>
              <w:spacing w:after="0"/>
              <w:rPr>
                <w:color w:val="auto"/>
              </w:rPr>
            </w:pPr>
          </w:p>
          <w:p w14:paraId="55CFAB7B" w14:textId="1AA73D83" w:rsidR="009D07F9" w:rsidRDefault="009D07F9" w:rsidP="002160FF">
            <w:pPr>
              <w:pStyle w:val="Tabelle"/>
              <w:spacing w:after="0"/>
              <w:rPr>
                <w:color w:val="auto"/>
              </w:rPr>
            </w:pPr>
            <w:r>
              <w:rPr>
                <w:color w:val="auto"/>
              </w:rPr>
              <w:t>in divided doses over 2</w:t>
            </w:r>
            <w:r w:rsidR="005A6D27">
              <w:rPr>
                <w:color w:val="auto"/>
              </w:rPr>
              <w:t>–</w:t>
            </w:r>
            <w:r>
              <w:rPr>
                <w:color w:val="auto"/>
              </w:rPr>
              <w:t>5 days</w:t>
            </w:r>
          </w:p>
          <w:p w14:paraId="1AF26521" w14:textId="77777777" w:rsidR="009D07F9" w:rsidRDefault="009D07F9" w:rsidP="002160FF">
            <w:pPr>
              <w:pStyle w:val="Tabelle"/>
              <w:spacing w:after="0"/>
              <w:rPr>
                <w:color w:val="auto"/>
              </w:rPr>
            </w:pPr>
          </w:p>
          <w:p w14:paraId="601E557D" w14:textId="77777777" w:rsidR="009D07F9" w:rsidRDefault="009D07F9" w:rsidP="002160FF">
            <w:pPr>
              <w:pStyle w:val="Tabelle"/>
              <w:spacing w:after="0"/>
              <w:rPr>
                <w:color w:val="auto"/>
              </w:rPr>
            </w:pPr>
          </w:p>
          <w:p w14:paraId="06C28696" w14:textId="1CEF8616" w:rsidR="009D07F9" w:rsidRPr="00BA2E1B" w:rsidRDefault="009D07F9" w:rsidP="002160FF">
            <w:pPr>
              <w:pStyle w:val="Tabelle"/>
              <w:spacing w:after="0"/>
              <w:rPr>
                <w:color w:val="auto"/>
              </w:rPr>
            </w:pPr>
            <w:r>
              <w:rPr>
                <w:color w:val="auto"/>
              </w:rPr>
              <w:t xml:space="preserve">every 3 weeks </w:t>
            </w:r>
            <w:r w:rsidR="0000276B">
              <w:rPr>
                <w:color w:val="auto"/>
              </w:rPr>
              <w:t xml:space="preserve">in divided doses </w:t>
            </w:r>
            <w:r>
              <w:rPr>
                <w:color w:val="auto"/>
              </w:rPr>
              <w:t>over 1</w:t>
            </w:r>
            <w:r w:rsidR="005A6D27">
              <w:rPr>
                <w:color w:val="auto"/>
              </w:rPr>
              <w:t>–</w:t>
            </w:r>
            <w:r>
              <w:rPr>
                <w:color w:val="auto"/>
              </w:rPr>
              <w:t>2 days</w:t>
            </w:r>
          </w:p>
        </w:tc>
      </w:tr>
      <w:tr w:rsidR="009D07F9" w:rsidRPr="00BA2E1B" w14:paraId="5D0EEDD5" w14:textId="77777777" w:rsidTr="00242C35">
        <w:tc>
          <w:tcPr>
            <w:tcW w:w="3331" w:type="dxa"/>
            <w:tcBorders>
              <w:top w:val="single" w:sz="4" w:space="0" w:color="auto"/>
              <w:left w:val="double" w:sz="6" w:space="0" w:color="auto"/>
              <w:bottom w:val="single" w:sz="4" w:space="0" w:color="auto"/>
              <w:right w:val="single" w:sz="4" w:space="0" w:color="auto"/>
            </w:tcBorders>
          </w:tcPr>
          <w:p w14:paraId="1786D14B" w14:textId="77777777" w:rsidR="009D07F9" w:rsidRPr="00BA2E1B" w:rsidRDefault="009D07F9" w:rsidP="002160FF">
            <w:pPr>
              <w:pStyle w:val="Tabelle"/>
              <w:rPr>
                <w:color w:val="auto"/>
              </w:rPr>
            </w:pPr>
            <w:r>
              <w:rPr>
                <w:color w:val="auto"/>
              </w:rPr>
              <w:t>Multifocal Motor Neuropathy (MMN)</w:t>
            </w:r>
            <w:r w:rsidRPr="00BA2E1B" w:rsidDel="00117FD2">
              <w:rPr>
                <w:color w:val="auto"/>
              </w:rPr>
              <w:t xml:space="preserve"> </w:t>
            </w:r>
          </w:p>
        </w:tc>
        <w:tc>
          <w:tcPr>
            <w:tcW w:w="2126" w:type="dxa"/>
            <w:tcBorders>
              <w:top w:val="single" w:sz="4" w:space="0" w:color="auto"/>
              <w:left w:val="single" w:sz="4" w:space="0" w:color="auto"/>
              <w:bottom w:val="single" w:sz="4" w:space="0" w:color="auto"/>
              <w:right w:val="single" w:sz="4" w:space="0" w:color="auto"/>
            </w:tcBorders>
          </w:tcPr>
          <w:p w14:paraId="2A17D721" w14:textId="77777777" w:rsidR="009D07F9" w:rsidRDefault="009D07F9" w:rsidP="002160FF">
            <w:pPr>
              <w:pStyle w:val="Tabelle"/>
              <w:spacing w:after="0"/>
              <w:rPr>
                <w:color w:val="auto"/>
              </w:rPr>
            </w:pPr>
            <w:r>
              <w:rPr>
                <w:color w:val="auto"/>
              </w:rPr>
              <w:t xml:space="preserve">Starting dose: </w:t>
            </w:r>
          </w:p>
          <w:p w14:paraId="6FA4DF42" w14:textId="77777777" w:rsidR="009D07F9" w:rsidRDefault="009D07F9" w:rsidP="002160FF">
            <w:pPr>
              <w:pStyle w:val="Tabelle"/>
              <w:spacing w:after="0"/>
              <w:rPr>
                <w:color w:val="auto"/>
              </w:rPr>
            </w:pPr>
            <w:r>
              <w:rPr>
                <w:color w:val="auto"/>
              </w:rPr>
              <w:t>2 g/kg</w:t>
            </w:r>
          </w:p>
          <w:p w14:paraId="2315D1C0" w14:textId="77777777" w:rsidR="009D07F9" w:rsidRDefault="009D07F9" w:rsidP="002160FF">
            <w:pPr>
              <w:pStyle w:val="Tabelle"/>
              <w:spacing w:after="0"/>
              <w:rPr>
                <w:color w:val="auto"/>
              </w:rPr>
            </w:pPr>
          </w:p>
          <w:p w14:paraId="171C8673" w14:textId="77777777" w:rsidR="009D07F9" w:rsidRDefault="009D07F9" w:rsidP="002160FF">
            <w:pPr>
              <w:pStyle w:val="Tabelle"/>
              <w:spacing w:after="0"/>
              <w:rPr>
                <w:color w:val="auto"/>
              </w:rPr>
            </w:pPr>
            <w:r>
              <w:rPr>
                <w:color w:val="auto"/>
              </w:rPr>
              <w:t>Maintenance dose:</w:t>
            </w:r>
          </w:p>
          <w:p w14:paraId="3C5E9922" w14:textId="6E628FF9" w:rsidR="009D07F9" w:rsidRDefault="009D07F9" w:rsidP="002160FF">
            <w:pPr>
              <w:pStyle w:val="Tabelle"/>
              <w:spacing w:after="0"/>
              <w:rPr>
                <w:color w:val="auto"/>
              </w:rPr>
            </w:pPr>
            <w:r>
              <w:rPr>
                <w:color w:val="auto"/>
              </w:rPr>
              <w:lastRenderedPageBreak/>
              <w:t>1</w:t>
            </w:r>
            <w:r w:rsidR="005A6D27">
              <w:rPr>
                <w:color w:val="auto"/>
              </w:rPr>
              <w:t xml:space="preserve"> </w:t>
            </w:r>
            <w:r>
              <w:rPr>
                <w:color w:val="auto"/>
              </w:rPr>
              <w:t>g/kg</w:t>
            </w:r>
          </w:p>
          <w:p w14:paraId="14257F67" w14:textId="77777777" w:rsidR="009D07F9" w:rsidRDefault="009D07F9" w:rsidP="002160FF">
            <w:pPr>
              <w:pStyle w:val="Tabelle"/>
              <w:spacing w:after="0"/>
              <w:rPr>
                <w:color w:val="auto"/>
              </w:rPr>
            </w:pPr>
          </w:p>
          <w:p w14:paraId="7D9541EB" w14:textId="77777777" w:rsidR="009D07F9" w:rsidRDefault="009D07F9" w:rsidP="002160FF">
            <w:pPr>
              <w:pStyle w:val="Tabelle"/>
              <w:spacing w:after="0"/>
              <w:rPr>
                <w:color w:val="auto"/>
              </w:rPr>
            </w:pPr>
            <w:r>
              <w:rPr>
                <w:color w:val="auto"/>
              </w:rPr>
              <w:t xml:space="preserve">or </w:t>
            </w:r>
          </w:p>
          <w:p w14:paraId="620EDAB7" w14:textId="77777777" w:rsidR="009D07F9" w:rsidRDefault="009D07F9" w:rsidP="002160FF">
            <w:pPr>
              <w:pStyle w:val="Tabelle"/>
              <w:spacing w:after="0"/>
              <w:rPr>
                <w:color w:val="auto"/>
              </w:rPr>
            </w:pPr>
          </w:p>
          <w:p w14:paraId="6EE9928B" w14:textId="563A2F0E" w:rsidR="009D07F9" w:rsidRPr="00BA2E1B" w:rsidRDefault="009D07F9" w:rsidP="002160FF">
            <w:pPr>
              <w:pStyle w:val="Tabelle"/>
              <w:spacing w:before="0" w:after="0"/>
              <w:rPr>
                <w:color w:val="auto"/>
              </w:rPr>
            </w:pPr>
            <w:r>
              <w:rPr>
                <w:color w:val="auto"/>
              </w:rPr>
              <w:t>2</w:t>
            </w:r>
            <w:r w:rsidR="005A6D27">
              <w:rPr>
                <w:color w:val="auto"/>
              </w:rPr>
              <w:t xml:space="preserve"> </w:t>
            </w:r>
            <w:r>
              <w:rPr>
                <w:color w:val="auto"/>
              </w:rPr>
              <w:t>g/kg</w:t>
            </w:r>
          </w:p>
        </w:tc>
        <w:tc>
          <w:tcPr>
            <w:tcW w:w="3544" w:type="dxa"/>
            <w:tcBorders>
              <w:top w:val="single" w:sz="4" w:space="0" w:color="auto"/>
              <w:left w:val="single" w:sz="4" w:space="0" w:color="auto"/>
              <w:bottom w:val="single" w:sz="4" w:space="0" w:color="auto"/>
              <w:right w:val="double" w:sz="6" w:space="0" w:color="auto"/>
            </w:tcBorders>
          </w:tcPr>
          <w:p w14:paraId="11A7C633" w14:textId="77777777" w:rsidR="009D07F9" w:rsidRDefault="009D07F9" w:rsidP="002160FF">
            <w:pPr>
              <w:pStyle w:val="Tabelle"/>
              <w:spacing w:after="0"/>
              <w:rPr>
                <w:color w:val="auto"/>
              </w:rPr>
            </w:pPr>
          </w:p>
          <w:p w14:paraId="6C6B54FD" w14:textId="2BF7B603" w:rsidR="009D07F9" w:rsidRDefault="0000276B" w:rsidP="002160FF">
            <w:pPr>
              <w:pStyle w:val="Tabelle"/>
              <w:spacing w:after="0"/>
              <w:rPr>
                <w:color w:val="auto"/>
              </w:rPr>
            </w:pPr>
            <w:r w:rsidRPr="008F683B">
              <w:rPr>
                <w:color w:val="auto"/>
                <w:szCs w:val="24"/>
                <w:lang w:val="en-US" w:eastAsia="de-AT"/>
              </w:rPr>
              <w:t>in divided doses 2</w:t>
            </w:r>
            <w:r w:rsidRPr="008F683B">
              <w:rPr>
                <w:rFonts w:ascii="TimesNewRomanPSMT" w:eastAsia="TimesNewRomanPSMT" w:cs="TimesNewRomanPSMT" w:hint="eastAsia"/>
                <w:color w:val="auto"/>
                <w:szCs w:val="24"/>
                <w:lang w:val="en-US" w:eastAsia="de-AT"/>
              </w:rPr>
              <w:t>–</w:t>
            </w:r>
            <w:r w:rsidRPr="008F683B">
              <w:rPr>
                <w:color w:val="auto"/>
                <w:szCs w:val="24"/>
                <w:lang w:val="en-US" w:eastAsia="de-AT"/>
              </w:rPr>
              <w:t>5</w:t>
            </w:r>
            <w:r>
              <w:rPr>
                <w:color w:val="auto"/>
                <w:szCs w:val="24"/>
                <w:lang w:val="en-US" w:eastAsia="de-AT"/>
              </w:rPr>
              <w:t xml:space="preserve"> </w:t>
            </w:r>
            <w:r w:rsidRPr="008F683B">
              <w:rPr>
                <w:color w:val="auto"/>
                <w:szCs w:val="24"/>
                <w:lang w:val="en-US" w:eastAsia="de-AT"/>
              </w:rPr>
              <w:t>consecutive days</w:t>
            </w:r>
          </w:p>
          <w:p w14:paraId="6CA84C2B" w14:textId="77777777" w:rsidR="009D07F9" w:rsidRDefault="009D07F9" w:rsidP="002160FF">
            <w:pPr>
              <w:pStyle w:val="Tabelle"/>
              <w:spacing w:after="0"/>
              <w:rPr>
                <w:color w:val="auto"/>
              </w:rPr>
            </w:pPr>
          </w:p>
          <w:p w14:paraId="0F7EFAF2" w14:textId="77777777" w:rsidR="009D07F9" w:rsidRDefault="009D07F9" w:rsidP="002160FF">
            <w:pPr>
              <w:pStyle w:val="Tabelle"/>
              <w:spacing w:after="0"/>
              <w:rPr>
                <w:color w:val="auto"/>
              </w:rPr>
            </w:pPr>
          </w:p>
          <w:p w14:paraId="156DC9FE" w14:textId="590E5785" w:rsidR="009D07F9" w:rsidRDefault="009D07F9" w:rsidP="002160FF">
            <w:pPr>
              <w:pStyle w:val="Tabelle"/>
              <w:spacing w:after="0"/>
              <w:rPr>
                <w:color w:val="auto"/>
              </w:rPr>
            </w:pPr>
            <w:r>
              <w:rPr>
                <w:color w:val="auto"/>
              </w:rPr>
              <w:t>every 2</w:t>
            </w:r>
            <w:r w:rsidR="005A6D27">
              <w:rPr>
                <w:color w:val="auto"/>
              </w:rPr>
              <w:t>–</w:t>
            </w:r>
            <w:r>
              <w:rPr>
                <w:color w:val="auto"/>
              </w:rPr>
              <w:t>4 weeks</w:t>
            </w:r>
          </w:p>
          <w:p w14:paraId="2FEAD1F7" w14:textId="77777777" w:rsidR="009D07F9" w:rsidRDefault="009D07F9" w:rsidP="002160FF">
            <w:pPr>
              <w:pStyle w:val="Tabelle"/>
              <w:spacing w:after="0"/>
              <w:rPr>
                <w:color w:val="auto"/>
              </w:rPr>
            </w:pPr>
          </w:p>
          <w:p w14:paraId="5E85CF83" w14:textId="77777777" w:rsidR="009D07F9" w:rsidRDefault="009D07F9" w:rsidP="002160FF">
            <w:pPr>
              <w:pStyle w:val="Tabelle"/>
              <w:spacing w:after="0"/>
              <w:rPr>
                <w:color w:val="auto"/>
              </w:rPr>
            </w:pPr>
            <w:r>
              <w:rPr>
                <w:color w:val="auto"/>
              </w:rPr>
              <w:t>or</w:t>
            </w:r>
          </w:p>
          <w:p w14:paraId="4E76CC2D" w14:textId="77777777" w:rsidR="009D07F9" w:rsidRDefault="009D07F9" w:rsidP="002160FF">
            <w:pPr>
              <w:pStyle w:val="Tabelle"/>
              <w:spacing w:after="0"/>
              <w:rPr>
                <w:color w:val="auto"/>
              </w:rPr>
            </w:pPr>
          </w:p>
          <w:p w14:paraId="3E83B04A" w14:textId="436D160F" w:rsidR="009D07F9" w:rsidRPr="00BA2E1B" w:rsidRDefault="009D07F9" w:rsidP="002160FF">
            <w:pPr>
              <w:pStyle w:val="Tabelle"/>
              <w:spacing w:before="0" w:after="0"/>
              <w:rPr>
                <w:color w:val="auto"/>
              </w:rPr>
            </w:pPr>
            <w:r>
              <w:rPr>
                <w:color w:val="auto"/>
              </w:rPr>
              <w:t>every 4</w:t>
            </w:r>
            <w:r w:rsidR="005A6D27">
              <w:rPr>
                <w:color w:val="auto"/>
              </w:rPr>
              <w:t>–</w:t>
            </w:r>
            <w:r>
              <w:rPr>
                <w:color w:val="auto"/>
              </w:rPr>
              <w:t xml:space="preserve">8 weeks </w:t>
            </w:r>
            <w:r w:rsidR="0000276B">
              <w:rPr>
                <w:color w:val="auto"/>
                <w:szCs w:val="24"/>
              </w:rPr>
              <w:t>in divided doses</w:t>
            </w:r>
            <w:r w:rsidR="0000276B">
              <w:rPr>
                <w:color w:val="auto"/>
              </w:rPr>
              <w:t xml:space="preserve"> </w:t>
            </w:r>
            <w:r>
              <w:rPr>
                <w:color w:val="auto"/>
              </w:rPr>
              <w:t>over 2</w:t>
            </w:r>
            <w:r w:rsidR="005A6D27">
              <w:rPr>
                <w:color w:val="auto"/>
              </w:rPr>
              <w:t>–</w:t>
            </w:r>
            <w:r>
              <w:rPr>
                <w:color w:val="auto"/>
              </w:rPr>
              <w:t>5 days</w:t>
            </w:r>
          </w:p>
        </w:tc>
      </w:tr>
      <w:tr w:rsidR="00242C35" w:rsidRPr="00BA2E1B" w14:paraId="69776E4E" w14:textId="77777777" w:rsidTr="009D07F9">
        <w:tc>
          <w:tcPr>
            <w:tcW w:w="3331" w:type="dxa"/>
            <w:tcBorders>
              <w:top w:val="single" w:sz="4" w:space="0" w:color="auto"/>
              <w:left w:val="double" w:sz="6" w:space="0" w:color="auto"/>
              <w:bottom w:val="double" w:sz="4" w:space="0" w:color="auto"/>
              <w:right w:val="single" w:sz="4" w:space="0" w:color="auto"/>
            </w:tcBorders>
          </w:tcPr>
          <w:p w14:paraId="20C6F440" w14:textId="77777777" w:rsidR="00242C35" w:rsidRDefault="004C5DD4" w:rsidP="002160FF">
            <w:pPr>
              <w:pStyle w:val="Tabelle"/>
              <w:rPr>
                <w:color w:val="auto"/>
              </w:rPr>
            </w:pPr>
            <w:r>
              <w:rPr>
                <w:color w:val="auto"/>
              </w:rPr>
              <w:lastRenderedPageBreak/>
              <w:t>D</w:t>
            </w:r>
            <w:r w:rsidR="00242C35">
              <w:rPr>
                <w:color w:val="auto"/>
              </w:rPr>
              <w:t>ermatomyositis (DM)</w:t>
            </w:r>
            <w:r w:rsidR="00A56201">
              <w:rPr>
                <w:color w:val="auto"/>
              </w:rPr>
              <w:t xml:space="preserve"> in adults</w:t>
            </w:r>
          </w:p>
        </w:tc>
        <w:tc>
          <w:tcPr>
            <w:tcW w:w="2126" w:type="dxa"/>
            <w:tcBorders>
              <w:top w:val="single" w:sz="4" w:space="0" w:color="auto"/>
              <w:left w:val="single" w:sz="4" w:space="0" w:color="auto"/>
              <w:bottom w:val="double" w:sz="4" w:space="0" w:color="auto"/>
              <w:right w:val="single" w:sz="4" w:space="0" w:color="auto"/>
            </w:tcBorders>
          </w:tcPr>
          <w:p w14:paraId="0B94F5FF" w14:textId="77777777" w:rsidR="00242C35" w:rsidRDefault="00242C35" w:rsidP="00242C35">
            <w:pPr>
              <w:pStyle w:val="Tabelle"/>
              <w:spacing w:after="0"/>
              <w:rPr>
                <w:color w:val="auto"/>
              </w:rPr>
            </w:pPr>
            <w:r>
              <w:rPr>
                <w:color w:val="auto"/>
              </w:rPr>
              <w:t>2 g/kg</w:t>
            </w:r>
          </w:p>
        </w:tc>
        <w:tc>
          <w:tcPr>
            <w:tcW w:w="3544" w:type="dxa"/>
            <w:tcBorders>
              <w:top w:val="single" w:sz="4" w:space="0" w:color="auto"/>
              <w:left w:val="single" w:sz="4" w:space="0" w:color="auto"/>
              <w:bottom w:val="double" w:sz="4" w:space="0" w:color="auto"/>
              <w:right w:val="double" w:sz="6" w:space="0" w:color="auto"/>
            </w:tcBorders>
          </w:tcPr>
          <w:p w14:paraId="6CADFAB2" w14:textId="4AF41DBB" w:rsidR="00242C35" w:rsidRDefault="00FD11AC" w:rsidP="00242C35">
            <w:pPr>
              <w:pStyle w:val="Tabelle"/>
              <w:spacing w:after="0"/>
              <w:rPr>
                <w:color w:val="auto"/>
              </w:rPr>
            </w:pPr>
            <w:r>
              <w:rPr>
                <w:color w:val="auto"/>
              </w:rPr>
              <w:t>every 4 weeks, divided in equal</w:t>
            </w:r>
            <w:r w:rsidR="00242C35">
              <w:rPr>
                <w:color w:val="auto"/>
              </w:rPr>
              <w:t xml:space="preserve"> doses</w:t>
            </w:r>
            <w:r>
              <w:rPr>
                <w:color w:val="auto"/>
              </w:rPr>
              <w:t xml:space="preserve"> given</w:t>
            </w:r>
            <w:r w:rsidR="00242C35">
              <w:rPr>
                <w:color w:val="auto"/>
              </w:rPr>
              <w:t xml:space="preserve"> over 2</w:t>
            </w:r>
            <w:r w:rsidR="005A6D27">
              <w:rPr>
                <w:color w:val="auto"/>
              </w:rPr>
              <w:t>–</w:t>
            </w:r>
            <w:r w:rsidR="00242C35">
              <w:rPr>
                <w:color w:val="auto"/>
              </w:rPr>
              <w:t xml:space="preserve">5 </w:t>
            </w:r>
            <w:r w:rsidR="00B066F9">
              <w:rPr>
                <w:color w:val="auto"/>
              </w:rPr>
              <w:t xml:space="preserve">consecutive </w:t>
            </w:r>
            <w:r w:rsidR="00242C35">
              <w:rPr>
                <w:color w:val="auto"/>
              </w:rPr>
              <w:t>days</w:t>
            </w:r>
          </w:p>
        </w:tc>
      </w:tr>
    </w:tbl>
    <w:p w14:paraId="25CF990E" w14:textId="77777777" w:rsidR="007B729F" w:rsidRDefault="007B729F">
      <w:pPr>
        <w:jc w:val="both"/>
        <w:rPr>
          <w:color w:val="auto"/>
        </w:rPr>
      </w:pPr>
    </w:p>
    <w:p w14:paraId="282F6516" w14:textId="77777777" w:rsidR="002E784C" w:rsidRPr="007928D0" w:rsidRDefault="007E5D11">
      <w:pPr>
        <w:jc w:val="both"/>
        <w:rPr>
          <w:i/>
          <w:iCs/>
          <w:color w:val="auto"/>
          <w:lang w:val="en-AU"/>
        </w:rPr>
      </w:pPr>
      <w:r w:rsidRPr="007E5D11">
        <w:rPr>
          <w:i/>
          <w:iCs/>
          <w:color w:val="auto"/>
          <w:lang w:val="en-AU"/>
        </w:rPr>
        <w:t>Paediatric population</w:t>
      </w:r>
    </w:p>
    <w:p w14:paraId="3D45BCE8" w14:textId="428A0A93" w:rsidR="002E784C" w:rsidRDefault="007E5D11" w:rsidP="002E784C">
      <w:pPr>
        <w:jc w:val="both"/>
        <w:rPr>
          <w:color w:val="auto"/>
          <w:lang w:val="en-AU"/>
        </w:rPr>
      </w:pPr>
      <w:r w:rsidRPr="007E5D11">
        <w:rPr>
          <w:color w:val="auto"/>
          <w:lang w:val="en-AU"/>
        </w:rPr>
        <w:t>The posology in children and adolescents (0</w:t>
      </w:r>
      <w:r w:rsidR="005A6D27">
        <w:rPr>
          <w:color w:val="auto"/>
        </w:rPr>
        <w:t>–</w:t>
      </w:r>
      <w:r w:rsidRPr="007E5D11">
        <w:rPr>
          <w:color w:val="auto"/>
          <w:lang w:val="en-AU"/>
        </w:rPr>
        <w:t>18 years) is not different to that of adults as the posology for</w:t>
      </w:r>
      <w:r w:rsidR="002E784C">
        <w:rPr>
          <w:color w:val="auto"/>
          <w:lang w:val="en-AU"/>
        </w:rPr>
        <w:t xml:space="preserve"> </w:t>
      </w:r>
      <w:r w:rsidRPr="007E5D11">
        <w:rPr>
          <w:color w:val="auto"/>
          <w:lang w:val="en-AU"/>
        </w:rPr>
        <w:t xml:space="preserve">each indication is given by body weight and </w:t>
      </w:r>
      <w:r w:rsidR="00BC3C84">
        <w:rPr>
          <w:color w:val="auto"/>
          <w:lang w:val="en-AU"/>
        </w:rPr>
        <w:t xml:space="preserve">must be </w:t>
      </w:r>
      <w:r w:rsidRPr="007E5D11">
        <w:rPr>
          <w:color w:val="auto"/>
          <w:lang w:val="en-AU"/>
        </w:rPr>
        <w:t>adjusted to the clinical outcome of the above</w:t>
      </w:r>
      <w:r w:rsidR="005A6D27">
        <w:rPr>
          <w:color w:val="auto"/>
          <w:lang w:val="en-AU"/>
        </w:rPr>
        <w:t>-</w:t>
      </w:r>
      <w:r w:rsidRPr="007E5D11">
        <w:rPr>
          <w:color w:val="auto"/>
          <w:lang w:val="en-AU"/>
        </w:rPr>
        <w:t>mentioned</w:t>
      </w:r>
      <w:r w:rsidR="002E784C">
        <w:rPr>
          <w:color w:val="auto"/>
          <w:lang w:val="en-AU"/>
        </w:rPr>
        <w:t xml:space="preserve"> </w:t>
      </w:r>
      <w:r w:rsidRPr="007E5D11">
        <w:rPr>
          <w:color w:val="auto"/>
          <w:lang w:val="en-AU"/>
        </w:rPr>
        <w:t>conditions.</w:t>
      </w:r>
    </w:p>
    <w:p w14:paraId="376CE7CC" w14:textId="77777777" w:rsidR="00365558" w:rsidRDefault="00365558" w:rsidP="002E784C">
      <w:pPr>
        <w:jc w:val="both"/>
        <w:rPr>
          <w:color w:val="auto"/>
          <w:lang w:val="en-AU"/>
        </w:rPr>
      </w:pPr>
    </w:p>
    <w:p w14:paraId="68055CF1" w14:textId="77777777" w:rsidR="000C3215" w:rsidRPr="0000276B" w:rsidRDefault="000C3215" w:rsidP="000C3215">
      <w:pPr>
        <w:pStyle w:val="Text"/>
        <w:spacing w:after="0"/>
        <w:rPr>
          <w:i/>
          <w:iCs/>
          <w:color w:val="auto"/>
        </w:rPr>
      </w:pPr>
      <w:r w:rsidRPr="0000276B">
        <w:rPr>
          <w:i/>
          <w:iCs/>
          <w:color w:val="auto"/>
        </w:rPr>
        <w:t>Hepatic impairment</w:t>
      </w:r>
    </w:p>
    <w:p w14:paraId="30CB6F9B" w14:textId="77777777" w:rsidR="000C3215" w:rsidRDefault="000C3215" w:rsidP="000C3215">
      <w:pPr>
        <w:pStyle w:val="Text"/>
        <w:spacing w:before="0"/>
        <w:rPr>
          <w:color w:val="auto"/>
        </w:rPr>
      </w:pPr>
      <w:r>
        <w:rPr>
          <w:color w:val="auto"/>
        </w:rPr>
        <w:t>No evidence is available to require a dose adjustment.</w:t>
      </w:r>
    </w:p>
    <w:p w14:paraId="07854FEC" w14:textId="77777777" w:rsidR="000C3215" w:rsidRPr="0000276B" w:rsidRDefault="000C3215" w:rsidP="000C3215">
      <w:pPr>
        <w:pStyle w:val="Text"/>
        <w:spacing w:after="0"/>
        <w:rPr>
          <w:i/>
          <w:iCs/>
          <w:color w:val="auto"/>
        </w:rPr>
      </w:pPr>
      <w:r w:rsidRPr="0000276B">
        <w:rPr>
          <w:i/>
          <w:iCs/>
          <w:color w:val="auto"/>
        </w:rPr>
        <w:t>Renal impairment</w:t>
      </w:r>
    </w:p>
    <w:p w14:paraId="2057D692" w14:textId="77777777" w:rsidR="000C3215" w:rsidRDefault="000C3215" w:rsidP="000C3215">
      <w:pPr>
        <w:pStyle w:val="Text"/>
        <w:spacing w:before="0"/>
        <w:rPr>
          <w:color w:val="auto"/>
        </w:rPr>
      </w:pPr>
      <w:r>
        <w:rPr>
          <w:color w:val="auto"/>
        </w:rPr>
        <w:t>No dose adjustment unless clinically warranted, see section 4.4.</w:t>
      </w:r>
    </w:p>
    <w:p w14:paraId="64CF5D9A" w14:textId="77777777" w:rsidR="000C3215" w:rsidRPr="0000276B" w:rsidRDefault="000C3215" w:rsidP="000C3215">
      <w:pPr>
        <w:pStyle w:val="Text"/>
        <w:spacing w:after="0"/>
        <w:jc w:val="left"/>
        <w:rPr>
          <w:i/>
          <w:iCs/>
          <w:color w:val="auto"/>
        </w:rPr>
      </w:pPr>
      <w:r w:rsidRPr="0000276B">
        <w:rPr>
          <w:i/>
          <w:iCs/>
          <w:color w:val="auto"/>
        </w:rPr>
        <w:t>Elderly</w:t>
      </w:r>
    </w:p>
    <w:p w14:paraId="0246D07D" w14:textId="77777777" w:rsidR="000C3215" w:rsidRPr="00743235" w:rsidRDefault="000C3215" w:rsidP="000C3215">
      <w:pPr>
        <w:pStyle w:val="Text"/>
        <w:spacing w:before="0" w:after="0"/>
        <w:jc w:val="left"/>
        <w:rPr>
          <w:color w:val="auto"/>
        </w:rPr>
      </w:pPr>
      <w:r>
        <w:rPr>
          <w:color w:val="auto"/>
        </w:rPr>
        <w:t>No dose adjustment unless clinically warranted, see section 4.4.</w:t>
      </w:r>
    </w:p>
    <w:p w14:paraId="71B90254" w14:textId="77777777" w:rsidR="000C3215" w:rsidRPr="00365558" w:rsidRDefault="000C3215" w:rsidP="002E784C">
      <w:pPr>
        <w:jc w:val="both"/>
        <w:rPr>
          <w:color w:val="auto"/>
        </w:rPr>
      </w:pPr>
    </w:p>
    <w:p w14:paraId="619B5630" w14:textId="77777777" w:rsidR="00FD030D" w:rsidRDefault="00FD030D" w:rsidP="00472EAA">
      <w:pPr>
        <w:jc w:val="both"/>
        <w:rPr>
          <w:u w:val="single"/>
        </w:rPr>
      </w:pPr>
    </w:p>
    <w:p w14:paraId="1F466228" w14:textId="77777777" w:rsidR="007E5D11" w:rsidRPr="007101B5" w:rsidRDefault="007E5D11" w:rsidP="00472EAA">
      <w:pPr>
        <w:jc w:val="both"/>
        <w:rPr>
          <w:color w:val="auto"/>
        </w:rPr>
      </w:pPr>
      <w:bookmarkStart w:id="3" w:name="_Hlk54786782"/>
      <w:r w:rsidRPr="007101B5">
        <w:rPr>
          <w:u w:val="single"/>
        </w:rPr>
        <w:t>Method of administration</w:t>
      </w:r>
    </w:p>
    <w:p w14:paraId="6A304F87" w14:textId="77777777" w:rsidR="00EA3E06" w:rsidRPr="007101B5" w:rsidRDefault="00EA3E06">
      <w:pPr>
        <w:pStyle w:val="Text"/>
        <w:rPr>
          <w:color w:val="auto"/>
        </w:rPr>
      </w:pPr>
      <w:r w:rsidRPr="007101B5">
        <w:rPr>
          <w:color w:val="auto"/>
        </w:rPr>
        <w:t>For intravenous use.</w:t>
      </w:r>
    </w:p>
    <w:p w14:paraId="5A67D452" w14:textId="3B845A0B" w:rsidR="007B729F" w:rsidRPr="007101B5" w:rsidRDefault="007B729F">
      <w:pPr>
        <w:pStyle w:val="Text"/>
        <w:rPr>
          <w:color w:val="auto"/>
        </w:rPr>
      </w:pPr>
      <w:bookmarkStart w:id="4" w:name="_Hlk54787045"/>
      <w:proofErr w:type="spellStart"/>
      <w:r w:rsidRPr="007101B5">
        <w:rPr>
          <w:color w:val="auto"/>
        </w:rPr>
        <w:t>Octagam</w:t>
      </w:r>
      <w:proofErr w:type="spellEnd"/>
      <w:r w:rsidRPr="007101B5">
        <w:rPr>
          <w:color w:val="auto"/>
        </w:rPr>
        <w:t xml:space="preserve"> 10% should be infused intravenously at an initial rate of </w:t>
      </w:r>
      <w:r w:rsidR="007866CF">
        <w:rPr>
          <w:color w:val="auto"/>
        </w:rPr>
        <w:t>0.6</w:t>
      </w:r>
      <w:r w:rsidRPr="007101B5">
        <w:rPr>
          <w:color w:val="auto"/>
        </w:rPr>
        <w:t xml:space="preserve"> mL/kg</w:t>
      </w:r>
      <w:r w:rsidR="00DD62D1">
        <w:rPr>
          <w:color w:val="auto"/>
        </w:rPr>
        <w:t>/</w:t>
      </w:r>
      <w:r w:rsidR="007866CF">
        <w:rPr>
          <w:color w:val="auto"/>
        </w:rPr>
        <w:t>hr</w:t>
      </w:r>
      <w:r w:rsidR="004459A1">
        <w:rPr>
          <w:color w:val="auto"/>
        </w:rPr>
        <w:t xml:space="preserve"> </w:t>
      </w:r>
      <w:r w:rsidRPr="007101B5">
        <w:rPr>
          <w:color w:val="auto"/>
        </w:rPr>
        <w:t>for 30 minutes.</w:t>
      </w:r>
      <w:r w:rsidR="000C3215" w:rsidRPr="007101B5">
        <w:rPr>
          <w:color w:val="auto"/>
        </w:rPr>
        <w:t xml:space="preserve"> See section 4.4. In case of adverse reaction, either the rate of administration must be </w:t>
      </w:r>
      <w:proofErr w:type="gramStart"/>
      <w:r w:rsidR="000C3215" w:rsidRPr="007101B5">
        <w:rPr>
          <w:color w:val="auto"/>
        </w:rPr>
        <w:t>reduced</w:t>
      </w:r>
      <w:proofErr w:type="gramEnd"/>
      <w:r w:rsidR="000C3215" w:rsidRPr="007101B5">
        <w:rPr>
          <w:color w:val="auto"/>
        </w:rPr>
        <w:t xml:space="preserve"> or the infusion stopped. </w:t>
      </w:r>
      <w:r w:rsidRPr="007101B5">
        <w:rPr>
          <w:color w:val="auto"/>
        </w:rPr>
        <w:t xml:space="preserve">If well tolerated, the rate of administration may gradually be increased to a maximum of </w:t>
      </w:r>
      <w:r w:rsidR="007866CF">
        <w:rPr>
          <w:color w:val="auto"/>
        </w:rPr>
        <w:t>7.2</w:t>
      </w:r>
      <w:r w:rsidRPr="007101B5">
        <w:rPr>
          <w:color w:val="auto"/>
        </w:rPr>
        <w:t xml:space="preserve"> mL/kg</w:t>
      </w:r>
      <w:r w:rsidR="00DD62D1">
        <w:rPr>
          <w:color w:val="auto"/>
        </w:rPr>
        <w:t>/</w:t>
      </w:r>
      <w:r w:rsidR="007866CF">
        <w:rPr>
          <w:color w:val="auto"/>
        </w:rPr>
        <w:t>hr</w:t>
      </w:r>
      <w:r w:rsidRPr="007101B5">
        <w:rPr>
          <w:color w:val="auto"/>
        </w:rPr>
        <w:t>.</w:t>
      </w:r>
    </w:p>
    <w:p w14:paraId="5C49254E" w14:textId="77777777" w:rsidR="00A56201" w:rsidRDefault="00D21DA0" w:rsidP="007F5209">
      <w:pPr>
        <w:autoSpaceDE w:val="0"/>
        <w:autoSpaceDN w:val="0"/>
        <w:adjustRightInd w:val="0"/>
        <w:jc w:val="both"/>
        <w:rPr>
          <w:color w:val="auto"/>
        </w:rPr>
      </w:pPr>
      <w:bookmarkStart w:id="5" w:name="_Hlk63850623"/>
      <w:bookmarkEnd w:id="4"/>
      <w:r w:rsidRPr="007101B5">
        <w:rPr>
          <w:color w:val="auto"/>
        </w:rPr>
        <w:t>In patients at risk for thromboembolic adverse reactions, IVIg products should be administered at the minimum rate of infusion and dose practicable.</w:t>
      </w:r>
      <w:r w:rsidR="00B10BA7">
        <w:rPr>
          <w:color w:val="auto"/>
        </w:rPr>
        <w:t xml:space="preserve"> </w:t>
      </w:r>
    </w:p>
    <w:p w14:paraId="7D29012A" w14:textId="6613302E" w:rsidR="00D21DA0" w:rsidRPr="007101B5" w:rsidRDefault="00B10BA7" w:rsidP="007F5209">
      <w:pPr>
        <w:autoSpaceDE w:val="0"/>
        <w:autoSpaceDN w:val="0"/>
        <w:adjustRightInd w:val="0"/>
        <w:jc w:val="both"/>
        <w:rPr>
          <w:color w:val="auto"/>
        </w:rPr>
      </w:pPr>
      <w:r>
        <w:rPr>
          <w:color w:val="auto"/>
        </w:rPr>
        <w:t xml:space="preserve">Patients with dermatomyositis are considered patients at increased risk for thromboembolic events </w:t>
      </w:r>
      <w:r w:rsidR="00A56201">
        <w:rPr>
          <w:color w:val="auto"/>
        </w:rPr>
        <w:t xml:space="preserve">(see section 4.4) </w:t>
      </w:r>
      <w:r>
        <w:rPr>
          <w:color w:val="auto"/>
        </w:rPr>
        <w:t xml:space="preserve">and should therefore be carefully monitored and infusion rate should </w:t>
      </w:r>
      <w:r w:rsidR="00A56201">
        <w:rPr>
          <w:color w:val="auto"/>
        </w:rPr>
        <w:t>not exceed</w:t>
      </w:r>
      <w:r>
        <w:rPr>
          <w:color w:val="auto"/>
        </w:rPr>
        <w:t xml:space="preserve"> </w:t>
      </w:r>
      <w:r w:rsidR="007866CF">
        <w:rPr>
          <w:color w:val="auto"/>
        </w:rPr>
        <w:t>2.4</w:t>
      </w:r>
      <w:r>
        <w:rPr>
          <w:color w:val="auto"/>
        </w:rPr>
        <w:t xml:space="preserve"> ml/kg/</w:t>
      </w:r>
      <w:r w:rsidR="007866CF">
        <w:rPr>
          <w:color w:val="auto"/>
        </w:rPr>
        <w:t>hr</w:t>
      </w:r>
      <w:r w:rsidR="00A56201">
        <w:rPr>
          <w:color w:val="auto"/>
        </w:rPr>
        <w:t>.</w:t>
      </w:r>
      <w:r>
        <w:rPr>
          <w:color w:val="auto"/>
        </w:rPr>
        <w:t xml:space="preserve"> </w:t>
      </w:r>
    </w:p>
    <w:bookmarkEnd w:id="5"/>
    <w:p w14:paraId="291EB4AD" w14:textId="77777777" w:rsidR="00242C35" w:rsidRPr="00E74597" w:rsidRDefault="00E74597" w:rsidP="00E74597">
      <w:pPr>
        <w:pStyle w:val="Text"/>
        <w:rPr>
          <w:color w:val="auto"/>
        </w:rPr>
      </w:pPr>
      <w:proofErr w:type="gramStart"/>
      <w:r w:rsidRPr="007101B5">
        <w:rPr>
          <w:color w:val="auto"/>
        </w:rPr>
        <w:t>In order to</w:t>
      </w:r>
      <w:proofErr w:type="gramEnd"/>
      <w:r w:rsidRPr="007101B5">
        <w:rPr>
          <w:color w:val="auto"/>
        </w:rPr>
        <w:t xml:space="preserve"> infuse any product that may remain in the infusion tubing at the end of the infusion the tubing may be flushed with either 0.9% saline or 5% dextrose solution.</w:t>
      </w:r>
      <w:r w:rsidR="00C85870">
        <w:rPr>
          <w:color w:val="auto"/>
        </w:rPr>
        <w:t xml:space="preserve"> </w:t>
      </w:r>
    </w:p>
    <w:bookmarkEnd w:id="3"/>
    <w:p w14:paraId="1A06139D" w14:textId="77777777" w:rsidR="00444ACD" w:rsidRDefault="00444ACD">
      <w:pPr>
        <w:pStyle w:val="Text"/>
        <w:rPr>
          <w:color w:val="auto"/>
        </w:rPr>
      </w:pPr>
    </w:p>
    <w:p w14:paraId="762B1B70" w14:textId="77777777" w:rsidR="007B729F" w:rsidRDefault="007B729F">
      <w:pPr>
        <w:pStyle w:val="Formatvorlageberschrift2AutomatischBlock"/>
        <w:rPr>
          <w:lang w:val="en-US"/>
        </w:rPr>
      </w:pPr>
      <w:r>
        <w:rPr>
          <w:lang w:val="en-US"/>
        </w:rPr>
        <w:t>Contraindications</w:t>
      </w:r>
    </w:p>
    <w:p w14:paraId="6EC89ABC" w14:textId="77777777" w:rsidR="007B729F" w:rsidRDefault="007B729F">
      <w:pPr>
        <w:pStyle w:val="Text"/>
        <w:rPr>
          <w:color w:val="auto"/>
        </w:rPr>
      </w:pPr>
      <w:r>
        <w:rPr>
          <w:color w:val="auto"/>
        </w:rPr>
        <w:t xml:space="preserve">Hypersensitivity to the active substance </w:t>
      </w:r>
      <w:r w:rsidR="00295D45">
        <w:t xml:space="preserve">(human immunoglobulins) </w:t>
      </w:r>
      <w:r>
        <w:rPr>
          <w:color w:val="auto"/>
        </w:rPr>
        <w:t xml:space="preserve">or to any of the excipients </w:t>
      </w:r>
      <w:r w:rsidR="00EA3E06">
        <w:rPr>
          <w:color w:val="auto"/>
        </w:rPr>
        <w:t>(see Section 4.4</w:t>
      </w:r>
      <w:r w:rsidR="00295D45">
        <w:rPr>
          <w:color w:val="auto"/>
        </w:rPr>
        <w:t xml:space="preserve"> and 6.1</w:t>
      </w:r>
      <w:r w:rsidR="00EA3E06">
        <w:rPr>
          <w:color w:val="auto"/>
        </w:rPr>
        <w:t>)</w:t>
      </w:r>
      <w:r>
        <w:rPr>
          <w:color w:val="auto"/>
        </w:rPr>
        <w:t>.</w:t>
      </w:r>
    </w:p>
    <w:p w14:paraId="20E512AA" w14:textId="77777777" w:rsidR="00BB77E7" w:rsidRDefault="00295D45">
      <w:pPr>
        <w:pStyle w:val="Text"/>
        <w:rPr>
          <w:color w:val="auto"/>
        </w:rPr>
      </w:pPr>
      <w:r>
        <w:rPr>
          <w:color w:val="auto"/>
        </w:rPr>
        <w:t xml:space="preserve">Patients with selective IgA deficiency who developed antibodies to IgA, as administering an IgA-containing product can result in anaphylaxis. </w:t>
      </w:r>
    </w:p>
    <w:p w14:paraId="0F09BAAF" w14:textId="77777777" w:rsidR="007B729F" w:rsidRPr="00CF241C" w:rsidRDefault="007B729F">
      <w:pPr>
        <w:pStyle w:val="Formatvorlageberschrift2AutomatischBlock"/>
        <w:rPr>
          <w:lang w:val="en-US"/>
        </w:rPr>
      </w:pPr>
      <w:r w:rsidRPr="00CF241C">
        <w:rPr>
          <w:lang w:val="en-US"/>
        </w:rPr>
        <w:lastRenderedPageBreak/>
        <w:t>Special warnings and precautions for use</w:t>
      </w:r>
    </w:p>
    <w:p w14:paraId="034B8486" w14:textId="77777777" w:rsidR="007E5D11" w:rsidRDefault="007E5D11" w:rsidP="007E5D11">
      <w:pPr>
        <w:autoSpaceDE w:val="0"/>
        <w:autoSpaceDN w:val="0"/>
        <w:adjustRightInd w:val="0"/>
        <w:rPr>
          <w:color w:val="auto"/>
          <w:szCs w:val="24"/>
          <w:lang w:val="en-AU" w:eastAsia="de-AT"/>
        </w:rPr>
      </w:pPr>
      <w:r w:rsidRPr="00984035">
        <w:rPr>
          <w:color w:val="auto"/>
          <w:szCs w:val="24"/>
          <w:lang w:val="en-AU" w:eastAsia="de-AT"/>
        </w:rPr>
        <w:t>This medicinal product contains 90 mg of maltose per ml as an excipient. The interference of maltose in blood glucose assays may result in falsely elevated glucose readings and, consequently, in the inappropriate administration of insulin, resulting in life</w:t>
      </w:r>
      <w:r w:rsidR="000C46D5" w:rsidRPr="00984035">
        <w:rPr>
          <w:color w:val="auto"/>
          <w:szCs w:val="24"/>
          <w:lang w:val="en-AU" w:eastAsia="de-AT"/>
        </w:rPr>
        <w:t xml:space="preserve"> </w:t>
      </w:r>
      <w:r w:rsidRPr="00984035">
        <w:rPr>
          <w:color w:val="auto"/>
          <w:szCs w:val="24"/>
          <w:lang w:val="en-AU" w:eastAsia="de-AT"/>
        </w:rPr>
        <w:t>threatening hypoglycaemia and death. Also, cases of true hypoglycaemia may go untreated if the hypoglycaemic state is masked by falsely elevated glucose readings</w:t>
      </w:r>
      <w:r w:rsidR="00B762E1" w:rsidRPr="00984035">
        <w:rPr>
          <w:color w:val="auto"/>
          <w:szCs w:val="24"/>
          <w:lang w:val="en-AU" w:eastAsia="de-AT"/>
        </w:rPr>
        <w:t xml:space="preserve"> (see Section 4.5)</w:t>
      </w:r>
      <w:r w:rsidRPr="00984035">
        <w:rPr>
          <w:color w:val="auto"/>
          <w:szCs w:val="24"/>
          <w:lang w:val="en-AU" w:eastAsia="de-AT"/>
        </w:rPr>
        <w:t>. For acute renal failure see below.</w:t>
      </w:r>
    </w:p>
    <w:p w14:paraId="0327BDF5" w14:textId="77777777" w:rsidR="00295D45" w:rsidRDefault="00295D45" w:rsidP="007E5D11">
      <w:pPr>
        <w:autoSpaceDE w:val="0"/>
        <w:autoSpaceDN w:val="0"/>
        <w:adjustRightInd w:val="0"/>
        <w:rPr>
          <w:color w:val="auto"/>
          <w:szCs w:val="24"/>
          <w:lang w:val="en-AU" w:eastAsia="de-AT"/>
        </w:rPr>
      </w:pPr>
    </w:p>
    <w:p w14:paraId="26AF191A" w14:textId="77777777" w:rsidR="00295D45" w:rsidRPr="0000276B" w:rsidRDefault="00295D45" w:rsidP="00295D45">
      <w:pPr>
        <w:pStyle w:val="Text"/>
        <w:rPr>
          <w:iCs/>
          <w:color w:val="auto"/>
          <w:u w:val="single"/>
        </w:rPr>
      </w:pPr>
      <w:r w:rsidRPr="0000276B">
        <w:rPr>
          <w:iCs/>
          <w:color w:val="auto"/>
          <w:u w:val="single"/>
        </w:rPr>
        <w:t>Traceability</w:t>
      </w:r>
    </w:p>
    <w:p w14:paraId="2662D4A8" w14:textId="77777777" w:rsidR="00295D45" w:rsidRPr="000E5A1C" w:rsidRDefault="00295D45" w:rsidP="00295D45">
      <w:pPr>
        <w:pStyle w:val="Text"/>
        <w:rPr>
          <w:color w:val="auto"/>
        </w:rPr>
      </w:pPr>
      <w:proofErr w:type="gramStart"/>
      <w:r w:rsidRPr="000E5A1C">
        <w:rPr>
          <w:color w:val="auto"/>
        </w:rPr>
        <w:t>In order to</w:t>
      </w:r>
      <w:proofErr w:type="gramEnd"/>
      <w:r w:rsidRPr="000E5A1C">
        <w:rPr>
          <w:color w:val="auto"/>
        </w:rPr>
        <w:t xml:space="preserve"> improve the traceability of biological medicinal products, the name and the batch number of the administered product should be clearly recorded.</w:t>
      </w:r>
    </w:p>
    <w:p w14:paraId="3884F78A" w14:textId="77777777" w:rsidR="00295D45" w:rsidRDefault="00295D45" w:rsidP="007E5D11">
      <w:pPr>
        <w:autoSpaceDE w:val="0"/>
        <w:autoSpaceDN w:val="0"/>
        <w:adjustRightInd w:val="0"/>
        <w:rPr>
          <w:color w:val="auto"/>
          <w:szCs w:val="24"/>
          <w:lang w:eastAsia="de-AT"/>
        </w:rPr>
      </w:pPr>
    </w:p>
    <w:p w14:paraId="6019400C" w14:textId="77777777" w:rsidR="00295D45" w:rsidRDefault="00295D45" w:rsidP="00295D45">
      <w:pPr>
        <w:pStyle w:val="Text"/>
        <w:spacing w:before="0" w:after="0"/>
        <w:rPr>
          <w:i/>
          <w:color w:val="auto"/>
        </w:rPr>
      </w:pPr>
      <w:r w:rsidRPr="00B832DB">
        <w:rPr>
          <w:i/>
          <w:color w:val="auto"/>
        </w:rPr>
        <w:t>Precautions for use</w:t>
      </w:r>
    </w:p>
    <w:p w14:paraId="43BB012C" w14:textId="77777777" w:rsidR="00295D45" w:rsidRDefault="00295D45" w:rsidP="00295D45">
      <w:pPr>
        <w:pStyle w:val="Text"/>
        <w:rPr>
          <w:color w:val="auto"/>
        </w:rPr>
      </w:pPr>
      <w:r>
        <w:rPr>
          <w:color w:val="auto"/>
        </w:rPr>
        <w:t>Potential complications can often be avoided by ensuring that patients:</w:t>
      </w:r>
    </w:p>
    <w:p w14:paraId="7828D5A4" w14:textId="1EC86B02" w:rsidR="00295D45" w:rsidRDefault="00295D45" w:rsidP="00295D45">
      <w:pPr>
        <w:pStyle w:val="Text"/>
        <w:numPr>
          <w:ilvl w:val="0"/>
          <w:numId w:val="17"/>
        </w:numPr>
        <w:rPr>
          <w:color w:val="auto"/>
        </w:rPr>
      </w:pPr>
      <w:r>
        <w:rPr>
          <w:color w:val="auto"/>
        </w:rPr>
        <w:t>are not sensitive to human normal immunoglobulin by initially injecting the product slowly (</w:t>
      </w:r>
      <w:r w:rsidR="007866CF">
        <w:rPr>
          <w:color w:val="auto"/>
        </w:rPr>
        <w:t>0.6</w:t>
      </w:r>
      <w:r>
        <w:rPr>
          <w:color w:val="auto"/>
        </w:rPr>
        <w:t xml:space="preserve"> to </w:t>
      </w:r>
      <w:r w:rsidR="007866CF">
        <w:rPr>
          <w:color w:val="auto"/>
        </w:rPr>
        <w:t>1.2</w:t>
      </w:r>
      <w:r>
        <w:rPr>
          <w:color w:val="auto"/>
        </w:rPr>
        <w:t xml:space="preserve"> mL/kg</w:t>
      </w:r>
      <w:r w:rsidR="00612E79">
        <w:rPr>
          <w:color w:val="auto"/>
        </w:rPr>
        <w:t>/</w:t>
      </w:r>
      <w:r w:rsidR="007866CF">
        <w:rPr>
          <w:color w:val="auto"/>
        </w:rPr>
        <w:t>hr</w:t>
      </w:r>
      <w:proofErr w:type="gramStart"/>
      <w:r>
        <w:rPr>
          <w:color w:val="auto"/>
        </w:rPr>
        <w:t>);</w:t>
      </w:r>
      <w:proofErr w:type="gramEnd"/>
    </w:p>
    <w:p w14:paraId="5198DA8E" w14:textId="09BDF396" w:rsidR="00295D45" w:rsidRDefault="00295D45" w:rsidP="00295D45">
      <w:pPr>
        <w:pStyle w:val="Text"/>
        <w:numPr>
          <w:ilvl w:val="0"/>
          <w:numId w:val="17"/>
        </w:numPr>
        <w:jc w:val="left"/>
        <w:rPr>
          <w:color w:val="auto"/>
        </w:rPr>
      </w:pPr>
      <w:r>
        <w:rPr>
          <w:color w:val="auto"/>
        </w:rPr>
        <w:t xml:space="preserve">are carefully monitored for any symptoms throughout the infusion period. </w:t>
      </w:r>
      <w:proofErr w:type="gramStart"/>
      <w:r>
        <w:rPr>
          <w:color w:val="auto"/>
        </w:rPr>
        <w:t>In particular, patients</w:t>
      </w:r>
      <w:proofErr w:type="gramEnd"/>
      <w:r>
        <w:rPr>
          <w:color w:val="auto"/>
        </w:rPr>
        <w:t xml:space="preserve"> naive to human normal immunoglobulin, patients switched from an alternative IVIg product or when there has been a long interval since the previous infusion should be monitored</w:t>
      </w:r>
      <w:r w:rsidR="004E5484">
        <w:rPr>
          <w:color w:val="auto"/>
        </w:rPr>
        <w:t xml:space="preserve"> </w:t>
      </w:r>
      <w:r>
        <w:rPr>
          <w:color w:val="auto"/>
        </w:rPr>
        <w:t>during the first infusion and for the first hour after the first infusion</w:t>
      </w:r>
      <w:r w:rsidR="0000276B" w:rsidRPr="0000276B">
        <w:rPr>
          <w:color w:val="auto"/>
        </w:rPr>
        <w:t xml:space="preserve"> </w:t>
      </w:r>
      <w:r w:rsidR="0000276B" w:rsidRPr="00684DBF">
        <w:rPr>
          <w:color w:val="auto"/>
        </w:rPr>
        <w:t>in a controlled healthcare setting in order to detect potential adverse signs and to ensure that emergency treatment can be administered immediately should problems occur</w:t>
      </w:r>
      <w:r>
        <w:rPr>
          <w:color w:val="auto"/>
        </w:rPr>
        <w:t>. All other patients should be observed for at least 20 minutes after administration.</w:t>
      </w:r>
    </w:p>
    <w:p w14:paraId="70055BAA" w14:textId="77777777" w:rsidR="00295D45" w:rsidRDefault="00295D45" w:rsidP="007E5D11">
      <w:pPr>
        <w:autoSpaceDE w:val="0"/>
        <w:autoSpaceDN w:val="0"/>
        <w:adjustRightInd w:val="0"/>
        <w:rPr>
          <w:color w:val="auto"/>
          <w:szCs w:val="24"/>
          <w:lang w:eastAsia="de-AT"/>
        </w:rPr>
      </w:pPr>
    </w:p>
    <w:p w14:paraId="189A800C" w14:textId="77777777" w:rsidR="00295D45" w:rsidRDefault="00295D45" w:rsidP="00295D45">
      <w:pPr>
        <w:autoSpaceDE w:val="0"/>
        <w:autoSpaceDN w:val="0"/>
        <w:adjustRightInd w:val="0"/>
        <w:rPr>
          <w:color w:val="auto"/>
          <w:szCs w:val="24"/>
          <w:lang w:val="en-AU" w:eastAsia="de-AT"/>
        </w:rPr>
      </w:pPr>
      <w:r w:rsidRPr="007E5D11">
        <w:rPr>
          <w:color w:val="auto"/>
          <w:szCs w:val="24"/>
          <w:lang w:val="en-AU" w:eastAsia="de-AT"/>
        </w:rPr>
        <w:t>In all patients, IVIg administration requires:</w:t>
      </w:r>
    </w:p>
    <w:p w14:paraId="7A2F066D" w14:textId="57367C62" w:rsidR="00295D45" w:rsidRPr="007E5D11" w:rsidRDefault="00295D45" w:rsidP="00295D45">
      <w:pPr>
        <w:numPr>
          <w:ilvl w:val="0"/>
          <w:numId w:val="17"/>
        </w:numPr>
        <w:autoSpaceDE w:val="0"/>
        <w:autoSpaceDN w:val="0"/>
        <w:adjustRightInd w:val="0"/>
        <w:rPr>
          <w:color w:val="auto"/>
          <w:szCs w:val="24"/>
          <w:lang w:val="en-AU" w:eastAsia="de-AT"/>
        </w:rPr>
      </w:pPr>
      <w:r w:rsidRPr="007E5D11">
        <w:rPr>
          <w:color w:val="auto"/>
          <w:szCs w:val="24"/>
          <w:lang w:val="en-AU" w:eastAsia="de-AT"/>
        </w:rPr>
        <w:t xml:space="preserve">adequate hydration prior to the initiation of the </w:t>
      </w:r>
      <w:r w:rsidR="00BC3C84">
        <w:rPr>
          <w:color w:val="auto"/>
          <w:szCs w:val="24"/>
          <w:lang w:val="en-AU" w:eastAsia="de-AT"/>
        </w:rPr>
        <w:t>IVIg infusion</w:t>
      </w:r>
    </w:p>
    <w:p w14:paraId="79167B08" w14:textId="77777777" w:rsidR="00295D45" w:rsidRPr="007E5D11" w:rsidRDefault="00295D45" w:rsidP="00295D45">
      <w:pPr>
        <w:numPr>
          <w:ilvl w:val="0"/>
          <w:numId w:val="17"/>
        </w:numPr>
        <w:autoSpaceDE w:val="0"/>
        <w:autoSpaceDN w:val="0"/>
        <w:adjustRightInd w:val="0"/>
        <w:rPr>
          <w:color w:val="auto"/>
          <w:szCs w:val="24"/>
          <w:lang w:val="en-AU" w:eastAsia="de-AT"/>
        </w:rPr>
      </w:pPr>
      <w:r w:rsidRPr="007E5D11">
        <w:rPr>
          <w:color w:val="auto"/>
          <w:szCs w:val="24"/>
          <w:lang w:val="en-AU" w:eastAsia="de-AT"/>
        </w:rPr>
        <w:t>monitoring of urine output</w:t>
      </w:r>
    </w:p>
    <w:p w14:paraId="6E7AD06C" w14:textId="77777777" w:rsidR="00295D45" w:rsidRPr="007E5D11" w:rsidRDefault="00295D45" w:rsidP="00295D45">
      <w:pPr>
        <w:numPr>
          <w:ilvl w:val="0"/>
          <w:numId w:val="17"/>
        </w:numPr>
        <w:autoSpaceDE w:val="0"/>
        <w:autoSpaceDN w:val="0"/>
        <w:adjustRightInd w:val="0"/>
        <w:rPr>
          <w:color w:val="auto"/>
          <w:szCs w:val="24"/>
          <w:lang w:val="en-AU" w:eastAsia="de-AT"/>
        </w:rPr>
      </w:pPr>
      <w:r w:rsidRPr="007E5D11">
        <w:rPr>
          <w:color w:val="auto"/>
          <w:szCs w:val="24"/>
          <w:lang w:val="en-AU" w:eastAsia="de-AT"/>
        </w:rPr>
        <w:t>monitoring of serum creatinine levels</w:t>
      </w:r>
    </w:p>
    <w:p w14:paraId="789ABC70" w14:textId="77777777" w:rsidR="00295D45" w:rsidRPr="007E5D11" w:rsidRDefault="00295D45" w:rsidP="00295D45">
      <w:pPr>
        <w:numPr>
          <w:ilvl w:val="0"/>
          <w:numId w:val="17"/>
        </w:numPr>
        <w:autoSpaceDE w:val="0"/>
        <w:autoSpaceDN w:val="0"/>
        <w:adjustRightInd w:val="0"/>
        <w:rPr>
          <w:color w:val="auto"/>
          <w:szCs w:val="24"/>
          <w:lang w:val="en-AU" w:eastAsia="de-AT"/>
        </w:rPr>
      </w:pPr>
      <w:r w:rsidRPr="007E5D11">
        <w:rPr>
          <w:color w:val="auto"/>
          <w:szCs w:val="24"/>
          <w:lang w:val="en-AU" w:eastAsia="de-AT"/>
        </w:rPr>
        <w:t>avoidance of concomitant use of loop diuretics</w:t>
      </w:r>
      <w:r w:rsidR="00BB77E7">
        <w:rPr>
          <w:color w:val="auto"/>
          <w:szCs w:val="24"/>
          <w:lang w:val="en-AU" w:eastAsia="de-AT"/>
        </w:rPr>
        <w:t xml:space="preserve"> (see 4.5)</w:t>
      </w:r>
    </w:p>
    <w:p w14:paraId="633C029B" w14:textId="77777777" w:rsidR="00295D45" w:rsidRPr="00295D45" w:rsidRDefault="00295D45" w:rsidP="007E5D11">
      <w:pPr>
        <w:autoSpaceDE w:val="0"/>
        <w:autoSpaceDN w:val="0"/>
        <w:adjustRightInd w:val="0"/>
        <w:rPr>
          <w:color w:val="auto"/>
          <w:szCs w:val="24"/>
          <w:lang w:val="en-AU" w:eastAsia="de-AT"/>
        </w:rPr>
      </w:pPr>
    </w:p>
    <w:p w14:paraId="103CE022" w14:textId="604EB2F6" w:rsidR="00295D45" w:rsidRPr="00B464B8" w:rsidRDefault="00295D45" w:rsidP="00295D45">
      <w:pPr>
        <w:autoSpaceDE w:val="0"/>
        <w:autoSpaceDN w:val="0"/>
        <w:adjustRightInd w:val="0"/>
        <w:rPr>
          <w:color w:val="auto"/>
          <w:szCs w:val="24"/>
          <w:lang w:val="en-AU" w:eastAsia="de-AT"/>
        </w:rPr>
      </w:pPr>
      <w:r w:rsidRPr="007E5D11">
        <w:rPr>
          <w:color w:val="auto"/>
          <w:szCs w:val="24"/>
          <w:lang w:val="en-AU" w:eastAsia="de-AT"/>
        </w:rPr>
        <w:t xml:space="preserve">In case of adverse reaction, either the </w:t>
      </w:r>
      <w:r w:rsidR="00BC3C84">
        <w:rPr>
          <w:color w:val="auto"/>
          <w:szCs w:val="24"/>
          <w:lang w:val="en-AU" w:eastAsia="de-AT"/>
        </w:rPr>
        <w:t>infusion rate</w:t>
      </w:r>
      <w:r w:rsidRPr="007E5D11">
        <w:rPr>
          <w:color w:val="auto"/>
          <w:szCs w:val="24"/>
          <w:lang w:val="en-AU" w:eastAsia="de-AT"/>
        </w:rPr>
        <w:t xml:space="preserve"> must be </w:t>
      </w:r>
      <w:proofErr w:type="gramStart"/>
      <w:r w:rsidRPr="007E5D11">
        <w:rPr>
          <w:color w:val="auto"/>
          <w:szCs w:val="24"/>
          <w:lang w:val="en-AU" w:eastAsia="de-AT"/>
        </w:rPr>
        <w:t>reduced</w:t>
      </w:r>
      <w:proofErr w:type="gramEnd"/>
      <w:r w:rsidRPr="007E5D11">
        <w:rPr>
          <w:color w:val="auto"/>
          <w:szCs w:val="24"/>
          <w:lang w:val="en-AU" w:eastAsia="de-AT"/>
        </w:rPr>
        <w:t xml:space="preserve"> or the infusion stopped. The treatment required depends on the nature and severity of the adverse reaction.</w:t>
      </w:r>
    </w:p>
    <w:p w14:paraId="0A6F3A71" w14:textId="77777777" w:rsidR="00295D45" w:rsidRPr="00295D45" w:rsidRDefault="00295D45" w:rsidP="007E5D11">
      <w:pPr>
        <w:autoSpaceDE w:val="0"/>
        <w:autoSpaceDN w:val="0"/>
        <w:adjustRightInd w:val="0"/>
        <w:rPr>
          <w:color w:val="auto"/>
          <w:szCs w:val="24"/>
          <w:lang w:val="en-AU" w:eastAsia="de-AT"/>
        </w:rPr>
      </w:pPr>
    </w:p>
    <w:p w14:paraId="6821BC77" w14:textId="4A9F8EAE" w:rsidR="00295D45" w:rsidRPr="00BB77E7" w:rsidRDefault="00295D45">
      <w:pPr>
        <w:pStyle w:val="Text"/>
        <w:rPr>
          <w:color w:val="auto"/>
          <w:u w:val="single"/>
        </w:rPr>
      </w:pPr>
      <w:r w:rsidRPr="00BB77E7">
        <w:rPr>
          <w:color w:val="auto"/>
          <w:u w:val="single"/>
        </w:rPr>
        <w:t>Infusion</w:t>
      </w:r>
      <w:r w:rsidR="00BC3C84">
        <w:rPr>
          <w:color w:val="auto"/>
          <w:u w:val="single"/>
        </w:rPr>
        <w:t>-related</w:t>
      </w:r>
      <w:r w:rsidRPr="00BB77E7">
        <w:rPr>
          <w:color w:val="auto"/>
          <w:u w:val="single"/>
        </w:rPr>
        <w:t xml:space="preserve"> reaction</w:t>
      </w:r>
    </w:p>
    <w:p w14:paraId="71482301" w14:textId="46346EC5" w:rsidR="007B729F" w:rsidRDefault="007B729F">
      <w:pPr>
        <w:pStyle w:val="Text"/>
        <w:rPr>
          <w:color w:val="auto"/>
        </w:rPr>
      </w:pPr>
      <w:r>
        <w:rPr>
          <w:color w:val="auto"/>
        </w:rPr>
        <w:t xml:space="preserve">Certain adverse reactions </w:t>
      </w:r>
      <w:r w:rsidR="00295D45" w:rsidRPr="00B832DB">
        <w:rPr>
          <w:color w:val="auto"/>
        </w:rPr>
        <w:t>(</w:t>
      </w:r>
      <w:proofErr w:type="gramStart"/>
      <w:r w:rsidR="00295D45" w:rsidRPr="00B832DB">
        <w:rPr>
          <w:color w:val="auto"/>
        </w:rPr>
        <w:t>e.g.</w:t>
      </w:r>
      <w:proofErr w:type="gramEnd"/>
      <w:r w:rsidR="00295D45" w:rsidRPr="00B832DB">
        <w:rPr>
          <w:color w:val="auto"/>
        </w:rPr>
        <w:t xml:space="preserve"> headache, flushing, chills, myalgia, wheezing, tachycardia, lower back pain, nausea, and hypotension)</w:t>
      </w:r>
      <w:r w:rsidR="00295D45">
        <w:rPr>
          <w:color w:val="auto"/>
        </w:rPr>
        <w:t xml:space="preserve"> </w:t>
      </w:r>
      <w:r>
        <w:rPr>
          <w:color w:val="auto"/>
        </w:rPr>
        <w:t xml:space="preserve">may be related to the rate of infusion. The recommended infusion rate given under </w:t>
      </w:r>
      <w:r w:rsidR="00612E79">
        <w:rPr>
          <w:color w:val="auto"/>
        </w:rPr>
        <w:t xml:space="preserve">section </w:t>
      </w:r>
      <w:r>
        <w:rPr>
          <w:color w:val="auto"/>
        </w:rPr>
        <w:t>4.2 must be closely followed. Patients must be closely monitored and carefully observed for any symptoms throughout the infusion period.</w:t>
      </w:r>
    </w:p>
    <w:p w14:paraId="7773CE47" w14:textId="77777777" w:rsidR="007B729F" w:rsidRDefault="00295D45">
      <w:pPr>
        <w:pStyle w:val="Text"/>
        <w:rPr>
          <w:color w:val="auto"/>
        </w:rPr>
      </w:pPr>
      <w:r>
        <w:rPr>
          <w:color w:val="auto"/>
        </w:rPr>
        <w:t>A</w:t>
      </w:r>
      <w:r w:rsidR="007B729F">
        <w:rPr>
          <w:color w:val="auto"/>
        </w:rPr>
        <w:t>dverse reactions may occur more frequently:</w:t>
      </w:r>
    </w:p>
    <w:p w14:paraId="30BD6FCE" w14:textId="77777777" w:rsidR="007B729F" w:rsidRDefault="007B729F" w:rsidP="007B729F">
      <w:pPr>
        <w:pStyle w:val="Text"/>
        <w:numPr>
          <w:ilvl w:val="0"/>
          <w:numId w:val="9"/>
        </w:numPr>
        <w:rPr>
          <w:color w:val="auto"/>
        </w:rPr>
      </w:pPr>
      <w:r>
        <w:rPr>
          <w:color w:val="auto"/>
        </w:rPr>
        <w:t>in patients who receive human normal immunoglobulin for the first time or, in rare cases, when the human normal immunoglobulin product is switched or when there has been a long interval since the previous infusion</w:t>
      </w:r>
    </w:p>
    <w:p w14:paraId="6E770EF8" w14:textId="77777777" w:rsidR="00295D45" w:rsidRPr="00295D45" w:rsidRDefault="00295D45" w:rsidP="00295D45">
      <w:pPr>
        <w:numPr>
          <w:ilvl w:val="0"/>
          <w:numId w:val="9"/>
        </w:numPr>
        <w:autoSpaceDE w:val="0"/>
        <w:autoSpaceDN w:val="0"/>
        <w:adjustRightInd w:val="0"/>
        <w:jc w:val="both"/>
        <w:rPr>
          <w:color w:val="auto"/>
          <w:szCs w:val="24"/>
          <w:lang w:eastAsia="en-GB"/>
        </w:rPr>
      </w:pPr>
      <w:r>
        <w:rPr>
          <w:color w:val="auto"/>
          <w:szCs w:val="24"/>
          <w:lang w:eastAsia="en-GB"/>
        </w:rPr>
        <w:t>in patients with an untreated infection or underlying chronic inflammation</w:t>
      </w:r>
    </w:p>
    <w:p w14:paraId="688637D4" w14:textId="77777777" w:rsidR="00462135" w:rsidRDefault="00462135" w:rsidP="00295D45">
      <w:pPr>
        <w:autoSpaceDE w:val="0"/>
        <w:autoSpaceDN w:val="0"/>
        <w:adjustRightInd w:val="0"/>
        <w:rPr>
          <w:color w:val="auto"/>
          <w:szCs w:val="24"/>
          <w:u w:val="single"/>
          <w:lang w:val="en-AU" w:eastAsia="de-AT"/>
        </w:rPr>
      </w:pPr>
    </w:p>
    <w:p w14:paraId="0018A40D" w14:textId="77777777" w:rsidR="00295D45" w:rsidRPr="00984035" w:rsidRDefault="00295D45" w:rsidP="00295D45">
      <w:pPr>
        <w:autoSpaceDE w:val="0"/>
        <w:autoSpaceDN w:val="0"/>
        <w:adjustRightInd w:val="0"/>
        <w:rPr>
          <w:color w:val="auto"/>
          <w:szCs w:val="24"/>
          <w:u w:val="single"/>
          <w:lang w:val="en-AU" w:eastAsia="de-AT"/>
        </w:rPr>
      </w:pPr>
      <w:r w:rsidRPr="00984035">
        <w:rPr>
          <w:color w:val="auto"/>
          <w:szCs w:val="24"/>
          <w:u w:val="single"/>
          <w:lang w:val="en-AU" w:eastAsia="de-AT"/>
        </w:rPr>
        <w:t>Hypersensitivity</w:t>
      </w:r>
    </w:p>
    <w:p w14:paraId="4C5A26A4" w14:textId="77777777" w:rsidR="00295D45" w:rsidRDefault="00295D45" w:rsidP="00295D45">
      <w:pPr>
        <w:autoSpaceDE w:val="0"/>
        <w:autoSpaceDN w:val="0"/>
        <w:adjustRightInd w:val="0"/>
        <w:rPr>
          <w:color w:val="auto"/>
          <w:szCs w:val="24"/>
          <w:lang w:val="en-AU" w:eastAsia="de-AT"/>
        </w:rPr>
      </w:pPr>
      <w:r>
        <w:rPr>
          <w:color w:val="auto"/>
          <w:szCs w:val="24"/>
          <w:lang w:val="en-AU" w:eastAsia="de-AT"/>
        </w:rPr>
        <w:lastRenderedPageBreak/>
        <w:t>H</w:t>
      </w:r>
      <w:r w:rsidRPr="00984035">
        <w:rPr>
          <w:color w:val="auto"/>
          <w:szCs w:val="24"/>
          <w:lang w:val="en-AU" w:eastAsia="de-AT"/>
        </w:rPr>
        <w:t xml:space="preserve">ypersensitivity reactions are rare. </w:t>
      </w:r>
    </w:p>
    <w:p w14:paraId="398949F5" w14:textId="77777777" w:rsidR="00295D45" w:rsidRDefault="00295D45" w:rsidP="00295D45">
      <w:pPr>
        <w:autoSpaceDE w:val="0"/>
        <w:autoSpaceDN w:val="0"/>
        <w:adjustRightInd w:val="0"/>
        <w:rPr>
          <w:color w:val="auto"/>
          <w:szCs w:val="24"/>
          <w:lang w:val="en-AU" w:eastAsia="de-AT"/>
        </w:rPr>
      </w:pPr>
    </w:p>
    <w:p w14:paraId="62E6FE17" w14:textId="77777777" w:rsidR="00295D45" w:rsidRDefault="00295D45" w:rsidP="00295D45">
      <w:pPr>
        <w:pStyle w:val="Text"/>
        <w:spacing w:before="0" w:after="0"/>
        <w:rPr>
          <w:color w:val="auto"/>
        </w:rPr>
      </w:pPr>
      <w:r>
        <w:rPr>
          <w:color w:val="auto"/>
        </w:rPr>
        <w:t>Anaphylaxis can develop in patients</w:t>
      </w:r>
    </w:p>
    <w:p w14:paraId="52AE9A23" w14:textId="77777777" w:rsidR="00295D45" w:rsidRDefault="00295D45" w:rsidP="00295D45">
      <w:pPr>
        <w:pStyle w:val="Text"/>
        <w:numPr>
          <w:ilvl w:val="0"/>
          <w:numId w:val="23"/>
        </w:numPr>
        <w:spacing w:before="0" w:after="0"/>
        <w:rPr>
          <w:color w:val="auto"/>
        </w:rPr>
      </w:pPr>
      <w:r>
        <w:rPr>
          <w:color w:val="auto"/>
        </w:rPr>
        <w:t>with undetectable IgA who have anti-IgA antibodies</w:t>
      </w:r>
    </w:p>
    <w:p w14:paraId="0F5C0C21" w14:textId="77777777" w:rsidR="00295D45" w:rsidRPr="00743235" w:rsidRDefault="00295D45" w:rsidP="00295D45">
      <w:pPr>
        <w:pStyle w:val="Text"/>
        <w:numPr>
          <w:ilvl w:val="0"/>
          <w:numId w:val="23"/>
        </w:numPr>
        <w:spacing w:before="0" w:after="0"/>
        <w:rPr>
          <w:color w:val="auto"/>
        </w:rPr>
      </w:pPr>
      <w:r>
        <w:rPr>
          <w:color w:val="auto"/>
        </w:rPr>
        <w:t>who had tolerated previous treatment with human normal immunoglobulin</w:t>
      </w:r>
    </w:p>
    <w:p w14:paraId="594A188A" w14:textId="77777777" w:rsidR="00295D45" w:rsidRPr="00B464B8" w:rsidRDefault="00295D45" w:rsidP="00B464B8">
      <w:pPr>
        <w:autoSpaceDE w:val="0"/>
        <w:autoSpaceDN w:val="0"/>
        <w:adjustRightInd w:val="0"/>
        <w:rPr>
          <w:color w:val="auto"/>
          <w:szCs w:val="24"/>
          <w:lang w:val="en-AU" w:eastAsia="de-AT"/>
        </w:rPr>
      </w:pPr>
    </w:p>
    <w:p w14:paraId="0A9C5C13" w14:textId="77777777" w:rsidR="00B464B8" w:rsidRPr="00B464B8" w:rsidRDefault="007E5D11" w:rsidP="00B464B8">
      <w:pPr>
        <w:autoSpaceDE w:val="0"/>
        <w:autoSpaceDN w:val="0"/>
        <w:adjustRightInd w:val="0"/>
        <w:rPr>
          <w:color w:val="auto"/>
          <w:szCs w:val="24"/>
          <w:lang w:val="en-AU" w:eastAsia="de-AT"/>
        </w:rPr>
      </w:pPr>
      <w:r w:rsidRPr="007E5D11">
        <w:rPr>
          <w:color w:val="auto"/>
          <w:szCs w:val="24"/>
          <w:lang w:val="en-AU" w:eastAsia="de-AT"/>
        </w:rPr>
        <w:t>In case of shock, standard medical treatment for shock should be implemented.</w:t>
      </w:r>
    </w:p>
    <w:p w14:paraId="2A3AF7DC" w14:textId="77777777" w:rsidR="004459A1" w:rsidRDefault="004459A1" w:rsidP="007E5D11">
      <w:pPr>
        <w:autoSpaceDE w:val="0"/>
        <w:autoSpaceDN w:val="0"/>
        <w:adjustRightInd w:val="0"/>
        <w:rPr>
          <w:color w:val="auto"/>
          <w:szCs w:val="24"/>
          <w:u w:val="single"/>
          <w:lang w:val="en-AU" w:eastAsia="de-AT"/>
        </w:rPr>
      </w:pPr>
    </w:p>
    <w:p w14:paraId="58397F80" w14:textId="5F7F1AFB" w:rsidR="007E5D11" w:rsidRPr="00984035" w:rsidRDefault="007E5D11" w:rsidP="007E5D11">
      <w:pPr>
        <w:autoSpaceDE w:val="0"/>
        <w:autoSpaceDN w:val="0"/>
        <w:adjustRightInd w:val="0"/>
        <w:rPr>
          <w:color w:val="auto"/>
          <w:szCs w:val="24"/>
          <w:u w:val="single"/>
          <w:lang w:val="en-AU" w:eastAsia="de-AT"/>
        </w:rPr>
      </w:pPr>
      <w:r w:rsidRPr="00984035">
        <w:rPr>
          <w:color w:val="auto"/>
          <w:szCs w:val="24"/>
          <w:u w:val="single"/>
          <w:lang w:val="en-AU" w:eastAsia="de-AT"/>
        </w:rPr>
        <w:t>Thromboembolism</w:t>
      </w:r>
    </w:p>
    <w:p w14:paraId="30DD335C" w14:textId="280CDEB3" w:rsidR="007B729F" w:rsidRDefault="007B729F">
      <w:pPr>
        <w:pStyle w:val="Text"/>
        <w:rPr>
          <w:color w:val="auto"/>
        </w:rPr>
      </w:pPr>
      <w:bookmarkStart w:id="6" w:name="_Hlk63168980"/>
      <w:r>
        <w:rPr>
          <w:color w:val="auto"/>
        </w:rPr>
        <w:t>There is clinical evidence of an association between IVIg administration and thromboembolic events</w:t>
      </w:r>
      <w:r w:rsidR="003C5DD8">
        <w:rPr>
          <w:color w:val="auto"/>
        </w:rPr>
        <w:t xml:space="preserve"> </w:t>
      </w:r>
      <w:r>
        <w:rPr>
          <w:color w:val="auto"/>
        </w:rPr>
        <w:t xml:space="preserve">such as myocardial infarction, </w:t>
      </w:r>
      <w:r w:rsidR="00AD2620">
        <w:rPr>
          <w:color w:val="auto"/>
        </w:rPr>
        <w:t xml:space="preserve">cerebral vascular accident (including </w:t>
      </w:r>
      <w:r>
        <w:rPr>
          <w:color w:val="auto"/>
        </w:rPr>
        <w:t>stroke</w:t>
      </w:r>
      <w:r w:rsidR="00AD2620">
        <w:rPr>
          <w:color w:val="auto"/>
        </w:rPr>
        <w:t>)</w:t>
      </w:r>
      <w:r>
        <w:rPr>
          <w:color w:val="auto"/>
        </w:rPr>
        <w:t xml:space="preserve">, pulmonary embolism and deep vein thromboses which </w:t>
      </w:r>
      <w:bookmarkEnd w:id="6"/>
      <w:r>
        <w:rPr>
          <w:color w:val="auto"/>
        </w:rPr>
        <w:t xml:space="preserve">is assumed to be related to a relative increase in blood viscosity through the high influx of immunoglobulin in at-risk patients. </w:t>
      </w:r>
      <w:bookmarkStart w:id="7" w:name="_Hlk64449327"/>
      <w:r>
        <w:rPr>
          <w:color w:val="auto"/>
        </w:rPr>
        <w:t>Caution should be exercised in prescribing and infusing IVIg in obese patients and in patients with pre-existing risk factors for thrombotic events (such as advanced age, hypertension, diabetes mellitus</w:t>
      </w:r>
      <w:r w:rsidR="001F494A">
        <w:rPr>
          <w:color w:val="auto"/>
        </w:rPr>
        <w:t>, dermatomyositis</w:t>
      </w:r>
      <w:r>
        <w:rPr>
          <w:color w:val="auto"/>
        </w:rPr>
        <w:t xml:space="preserve"> and a history of vascular disease or thrombotic episodes, patients with acquired or inherited </w:t>
      </w:r>
      <w:proofErr w:type="spellStart"/>
      <w:r>
        <w:rPr>
          <w:color w:val="auto"/>
        </w:rPr>
        <w:t>thrombophilic</w:t>
      </w:r>
      <w:proofErr w:type="spellEnd"/>
      <w:r>
        <w:rPr>
          <w:color w:val="auto"/>
        </w:rPr>
        <w:t xml:space="preserve"> disorders, patients with prolonged periods of immobilisation, severely hypovolemic patients, patients with diseases which increase blood viscosity).</w:t>
      </w:r>
      <w:bookmarkEnd w:id="7"/>
    </w:p>
    <w:p w14:paraId="31080C71" w14:textId="77777777" w:rsidR="007E5D11" w:rsidRPr="00984035" w:rsidRDefault="007E5D11" w:rsidP="007E5D11">
      <w:pPr>
        <w:autoSpaceDE w:val="0"/>
        <w:autoSpaceDN w:val="0"/>
        <w:adjustRightInd w:val="0"/>
        <w:rPr>
          <w:color w:val="auto"/>
          <w:szCs w:val="24"/>
          <w:lang w:val="en-AU" w:eastAsia="de-AT"/>
        </w:rPr>
      </w:pPr>
      <w:bookmarkStart w:id="8" w:name="_Hlk54021045"/>
      <w:r w:rsidRPr="007101B5">
        <w:rPr>
          <w:color w:val="auto"/>
          <w:szCs w:val="24"/>
          <w:lang w:val="en-AU" w:eastAsia="de-AT"/>
        </w:rPr>
        <w:t>In patients at risk for thromboembolic adverse reactions, IVIg products should be administered at the minimum rate of infusion and dose practicable.</w:t>
      </w:r>
      <w:bookmarkStart w:id="9" w:name="_Hlk63852463"/>
    </w:p>
    <w:bookmarkEnd w:id="8"/>
    <w:bookmarkEnd w:id="9"/>
    <w:p w14:paraId="1CD2117C" w14:textId="77777777" w:rsidR="007E5D11" w:rsidRDefault="007E5D11" w:rsidP="007E5D11">
      <w:pPr>
        <w:autoSpaceDE w:val="0"/>
        <w:autoSpaceDN w:val="0"/>
        <w:adjustRightInd w:val="0"/>
        <w:rPr>
          <w:rFonts w:ascii="TimesNewRoman" w:hAnsi="TimesNewRoman" w:cs="TimesNewRoman"/>
          <w:color w:val="auto"/>
          <w:szCs w:val="24"/>
          <w:lang w:val="en-AU" w:eastAsia="de-AT"/>
        </w:rPr>
      </w:pPr>
    </w:p>
    <w:p w14:paraId="41F591FF" w14:textId="77777777" w:rsidR="007E5D11" w:rsidRPr="007E5D11" w:rsidRDefault="007E5D11" w:rsidP="007E5D11">
      <w:pPr>
        <w:autoSpaceDE w:val="0"/>
        <w:autoSpaceDN w:val="0"/>
        <w:adjustRightInd w:val="0"/>
        <w:rPr>
          <w:color w:val="auto"/>
          <w:szCs w:val="24"/>
          <w:u w:val="single"/>
          <w:lang w:val="en-AU"/>
        </w:rPr>
      </w:pPr>
      <w:r w:rsidRPr="007E5D11">
        <w:rPr>
          <w:color w:val="auto"/>
          <w:szCs w:val="24"/>
          <w:u w:val="single"/>
          <w:lang w:val="en-AU"/>
        </w:rPr>
        <w:t>Acute renal failure</w:t>
      </w:r>
    </w:p>
    <w:p w14:paraId="04EEB636" w14:textId="77777777" w:rsidR="007B729F" w:rsidRDefault="007B729F">
      <w:pPr>
        <w:pStyle w:val="Text"/>
        <w:rPr>
          <w:color w:val="auto"/>
        </w:rPr>
      </w:pPr>
      <w:r>
        <w:rPr>
          <w:color w:val="auto"/>
        </w:rPr>
        <w:t>Cases of acute renal failure have been reported in patients receiving IVIg therapy. In most cases, risk factors have been identified, such as pre-existing renal insufficiency, diabetes mellitus, hypovol</w:t>
      </w:r>
      <w:r w:rsidR="008525A5">
        <w:rPr>
          <w:color w:val="auto"/>
        </w:rPr>
        <w:t>a</w:t>
      </w:r>
      <w:r>
        <w:rPr>
          <w:color w:val="auto"/>
        </w:rPr>
        <w:t xml:space="preserve">emia, overweight, concomitant nephrotoxic medicinal </w:t>
      </w:r>
      <w:proofErr w:type="gramStart"/>
      <w:r>
        <w:rPr>
          <w:color w:val="auto"/>
        </w:rPr>
        <w:t>products</w:t>
      </w:r>
      <w:proofErr w:type="gramEnd"/>
      <w:r>
        <w:rPr>
          <w:color w:val="auto"/>
        </w:rPr>
        <w:t xml:space="preserve"> or age over 65. </w:t>
      </w:r>
    </w:p>
    <w:p w14:paraId="6E824444" w14:textId="4F2425E2" w:rsidR="008525A5" w:rsidRDefault="008525A5" w:rsidP="00612E79">
      <w:pPr>
        <w:pStyle w:val="Text"/>
        <w:rPr>
          <w:color w:val="auto"/>
        </w:rPr>
      </w:pPr>
      <w:r w:rsidRPr="002C4C89">
        <w:rPr>
          <w:color w:val="auto"/>
        </w:rPr>
        <w:t xml:space="preserve">Renal parameters should be assessed prior to infusion of </w:t>
      </w:r>
      <w:r w:rsidR="00612E79" w:rsidRPr="002C4C89">
        <w:rPr>
          <w:color w:val="auto"/>
        </w:rPr>
        <w:t>IVI</w:t>
      </w:r>
      <w:r w:rsidR="00612E79">
        <w:rPr>
          <w:color w:val="auto"/>
        </w:rPr>
        <w:t>g</w:t>
      </w:r>
      <w:r w:rsidRPr="002C4C89">
        <w:rPr>
          <w:color w:val="auto"/>
        </w:rPr>
        <w:t>, particularly in patients judged to have a potential increased risk for developing acute renal failure, and again at appropriate intervals.</w:t>
      </w:r>
      <w:r w:rsidRPr="008525A5">
        <w:rPr>
          <w:color w:val="auto"/>
        </w:rPr>
        <w:t xml:space="preserve"> </w:t>
      </w:r>
      <w:r>
        <w:rPr>
          <w:color w:val="auto"/>
        </w:rPr>
        <w:t>In patients at risk for acute renal failure, IVIg products should be administered at the minimum rate of infusion and dose practicable.</w:t>
      </w:r>
      <w:r w:rsidR="00444ACD">
        <w:rPr>
          <w:color w:val="auto"/>
        </w:rPr>
        <w:t xml:space="preserve"> </w:t>
      </w:r>
      <w:r w:rsidR="007B729F">
        <w:rPr>
          <w:color w:val="auto"/>
        </w:rPr>
        <w:t xml:space="preserve">In case of renal impairment, IVIg discontinuation should be considered. </w:t>
      </w:r>
    </w:p>
    <w:p w14:paraId="1681DB51" w14:textId="77777777" w:rsidR="008525A5" w:rsidRDefault="008525A5" w:rsidP="00D21892">
      <w:pPr>
        <w:jc w:val="both"/>
        <w:rPr>
          <w:color w:val="auto"/>
        </w:rPr>
      </w:pPr>
    </w:p>
    <w:p w14:paraId="0EC77A96" w14:textId="38CE1DED" w:rsidR="00D21892" w:rsidRDefault="007B729F" w:rsidP="00D21892">
      <w:pPr>
        <w:jc w:val="both"/>
        <w:rPr>
          <w:color w:val="auto"/>
        </w:rPr>
      </w:pPr>
      <w:r>
        <w:rPr>
          <w:color w:val="auto"/>
        </w:rPr>
        <w:t xml:space="preserve">While reports of renal dysfunction and acute renal failure have been associated with the use of many of the licensed IVIg products </w:t>
      </w:r>
      <w:r w:rsidRPr="00472EAA">
        <w:rPr>
          <w:color w:val="auto"/>
        </w:rPr>
        <w:t xml:space="preserve">containing various excipients such as sucrose, </w:t>
      </w:r>
      <w:proofErr w:type="gramStart"/>
      <w:r w:rsidRPr="00472EAA">
        <w:rPr>
          <w:color w:val="auto"/>
        </w:rPr>
        <w:t>glucose</w:t>
      </w:r>
      <w:proofErr w:type="gramEnd"/>
      <w:r w:rsidRPr="00472EAA">
        <w:rPr>
          <w:color w:val="auto"/>
        </w:rPr>
        <w:t xml:space="preserve"> and maltose</w:t>
      </w:r>
      <w:r>
        <w:rPr>
          <w:color w:val="auto"/>
        </w:rPr>
        <w:t>, those containing sucrose as a stabiliser accounted for a disproportionate share of the total number. In patients at risk, the use of IVIg products not containing such excipients may be considered.</w:t>
      </w:r>
      <w:r w:rsidR="00D21892">
        <w:rPr>
          <w:color w:val="auto"/>
        </w:rPr>
        <w:t xml:space="preserve"> </w:t>
      </w:r>
      <w:proofErr w:type="spellStart"/>
      <w:r w:rsidR="00AC0D25" w:rsidRPr="00AC0D25">
        <w:rPr>
          <w:color w:val="auto"/>
        </w:rPr>
        <w:t>Octagam</w:t>
      </w:r>
      <w:proofErr w:type="spellEnd"/>
      <w:r w:rsidR="00AC0D25" w:rsidRPr="00AC0D25">
        <w:rPr>
          <w:color w:val="auto"/>
        </w:rPr>
        <w:t xml:space="preserve"> 10% contains maltose (see excipients above).</w:t>
      </w:r>
      <w:r w:rsidR="00D21892">
        <w:rPr>
          <w:color w:val="auto"/>
        </w:rPr>
        <w:t xml:space="preserve"> </w:t>
      </w:r>
    </w:p>
    <w:p w14:paraId="15B67CE6" w14:textId="77777777" w:rsidR="00AD2620" w:rsidRDefault="00AD2620">
      <w:pPr>
        <w:pStyle w:val="Text"/>
        <w:rPr>
          <w:color w:val="auto"/>
        </w:rPr>
      </w:pPr>
    </w:p>
    <w:p w14:paraId="14E24412" w14:textId="77777777" w:rsidR="00AD2620" w:rsidRPr="007928D0" w:rsidRDefault="007E5D11" w:rsidP="00AD2620">
      <w:pPr>
        <w:autoSpaceDE w:val="0"/>
        <w:autoSpaceDN w:val="0"/>
        <w:adjustRightInd w:val="0"/>
        <w:rPr>
          <w:color w:val="auto"/>
          <w:szCs w:val="24"/>
          <w:u w:val="single"/>
          <w:lang w:val="en-AU"/>
        </w:rPr>
      </w:pPr>
      <w:r w:rsidRPr="007E5D11">
        <w:rPr>
          <w:color w:val="auto"/>
          <w:szCs w:val="24"/>
          <w:u w:val="single"/>
          <w:lang w:val="en-AU"/>
        </w:rPr>
        <w:t>Aseptic meningitis syndrome (AMS)</w:t>
      </w:r>
    </w:p>
    <w:p w14:paraId="475A2913" w14:textId="2876184F" w:rsidR="00AD2620" w:rsidRPr="00AD2620" w:rsidRDefault="007E5D11" w:rsidP="00AD2620">
      <w:pPr>
        <w:autoSpaceDE w:val="0"/>
        <w:autoSpaceDN w:val="0"/>
        <w:adjustRightInd w:val="0"/>
        <w:rPr>
          <w:color w:val="auto"/>
          <w:szCs w:val="24"/>
          <w:lang w:val="en-AU" w:eastAsia="de-AT"/>
        </w:rPr>
      </w:pPr>
      <w:r w:rsidRPr="007E5D11">
        <w:rPr>
          <w:color w:val="auto"/>
          <w:szCs w:val="24"/>
          <w:lang w:val="en-AU" w:eastAsia="de-AT"/>
        </w:rPr>
        <w:t>Aseptic meningitis syndrome has been reported to occur in association with IVIg treatment.</w:t>
      </w:r>
      <w:r w:rsidR="00AD2620">
        <w:rPr>
          <w:color w:val="auto"/>
          <w:szCs w:val="24"/>
          <w:lang w:val="en-AU" w:eastAsia="de-AT"/>
        </w:rPr>
        <w:t xml:space="preserve"> </w:t>
      </w:r>
      <w:r w:rsidRPr="007E5D11">
        <w:rPr>
          <w:color w:val="auto"/>
          <w:szCs w:val="24"/>
          <w:lang w:val="en-AU" w:eastAsia="de-AT"/>
        </w:rPr>
        <w:t>The syndrome usually begins within several hours to 2 days following IVIg treatment. Cerebrospinal fluid</w:t>
      </w:r>
      <w:r w:rsidR="00AD2620">
        <w:rPr>
          <w:color w:val="auto"/>
          <w:szCs w:val="24"/>
          <w:lang w:val="en-AU" w:eastAsia="de-AT"/>
        </w:rPr>
        <w:t xml:space="preserve"> </w:t>
      </w:r>
      <w:r w:rsidR="00BC3C84">
        <w:rPr>
          <w:color w:val="auto"/>
          <w:szCs w:val="24"/>
          <w:lang w:val="en-AU" w:eastAsia="de-AT"/>
        </w:rPr>
        <w:t xml:space="preserve">(CSF) </w:t>
      </w:r>
      <w:r w:rsidRPr="007E5D11">
        <w:rPr>
          <w:color w:val="auto"/>
          <w:szCs w:val="24"/>
          <w:lang w:val="en-AU" w:eastAsia="de-AT"/>
        </w:rPr>
        <w:t>studies are frequently positive with pleocytosis up to several thousand cells per mm</w:t>
      </w:r>
      <w:r w:rsidRPr="00B97D68">
        <w:rPr>
          <w:color w:val="auto"/>
          <w:szCs w:val="24"/>
          <w:vertAlign w:val="superscript"/>
          <w:lang w:val="en-AU" w:eastAsia="de-AT"/>
        </w:rPr>
        <w:t>3</w:t>
      </w:r>
      <w:r w:rsidRPr="007E5D11">
        <w:rPr>
          <w:color w:val="auto"/>
          <w:szCs w:val="24"/>
          <w:lang w:val="en-AU" w:eastAsia="de-AT"/>
        </w:rPr>
        <w:t>, predominantly from</w:t>
      </w:r>
      <w:r w:rsidR="00AD2620">
        <w:rPr>
          <w:color w:val="auto"/>
          <w:szCs w:val="24"/>
          <w:lang w:val="en-AU" w:eastAsia="de-AT"/>
        </w:rPr>
        <w:t xml:space="preserve"> </w:t>
      </w:r>
      <w:r w:rsidRPr="007E5D11">
        <w:rPr>
          <w:color w:val="auto"/>
          <w:szCs w:val="24"/>
          <w:lang w:val="en-AU" w:eastAsia="de-AT"/>
        </w:rPr>
        <w:t>the granulocytic series, and elevated protein levels up to several hundred mg/dl.</w:t>
      </w:r>
    </w:p>
    <w:p w14:paraId="68E6A321" w14:textId="77777777" w:rsidR="00AD2620" w:rsidRDefault="007E5D11" w:rsidP="00AD2620">
      <w:pPr>
        <w:autoSpaceDE w:val="0"/>
        <w:autoSpaceDN w:val="0"/>
        <w:adjustRightInd w:val="0"/>
        <w:rPr>
          <w:color w:val="auto"/>
          <w:szCs w:val="24"/>
          <w:lang w:val="en-AU" w:eastAsia="de-AT"/>
        </w:rPr>
      </w:pPr>
      <w:r w:rsidRPr="007E5D11">
        <w:rPr>
          <w:color w:val="auto"/>
          <w:szCs w:val="24"/>
          <w:lang w:val="en-AU" w:eastAsia="de-AT"/>
        </w:rPr>
        <w:t>AMS may occur more frequently in association with high-dose (2 g/kg) IVIg treatment.</w:t>
      </w:r>
    </w:p>
    <w:p w14:paraId="730D1209" w14:textId="77777777" w:rsidR="00B97D68" w:rsidRDefault="00B97D68" w:rsidP="00AD2620">
      <w:pPr>
        <w:autoSpaceDE w:val="0"/>
        <w:autoSpaceDN w:val="0"/>
        <w:adjustRightInd w:val="0"/>
        <w:rPr>
          <w:color w:val="auto"/>
          <w:szCs w:val="24"/>
          <w:lang w:val="en-AU" w:eastAsia="de-AT"/>
        </w:rPr>
      </w:pPr>
    </w:p>
    <w:p w14:paraId="5779D66F" w14:textId="77777777" w:rsidR="00B97D68" w:rsidRPr="00B97D68" w:rsidRDefault="00B97D68" w:rsidP="00B97D68">
      <w:pPr>
        <w:pStyle w:val="Text"/>
        <w:rPr>
          <w:color w:val="auto"/>
        </w:rPr>
      </w:pPr>
      <w:r w:rsidRPr="000C60CB">
        <w:rPr>
          <w:color w:val="auto"/>
        </w:rPr>
        <w:lastRenderedPageBreak/>
        <w:t>Patients exhibiting such signs and symptoms should receive a thorough neurological examination, including CSF studies, to rule out other causes of meningitis.</w:t>
      </w:r>
    </w:p>
    <w:p w14:paraId="78244134" w14:textId="77777777" w:rsidR="00B97D68" w:rsidRDefault="00B97D68" w:rsidP="00AD2620">
      <w:pPr>
        <w:autoSpaceDE w:val="0"/>
        <w:autoSpaceDN w:val="0"/>
        <w:adjustRightInd w:val="0"/>
        <w:rPr>
          <w:color w:val="auto"/>
          <w:szCs w:val="24"/>
          <w:lang w:val="en-AU" w:eastAsia="de-AT"/>
        </w:rPr>
      </w:pPr>
    </w:p>
    <w:p w14:paraId="21E662C6" w14:textId="77777777" w:rsidR="00B97D68" w:rsidRDefault="00B97D68" w:rsidP="00AD2620">
      <w:pPr>
        <w:autoSpaceDE w:val="0"/>
        <w:autoSpaceDN w:val="0"/>
        <w:adjustRightInd w:val="0"/>
        <w:rPr>
          <w:color w:val="auto"/>
          <w:szCs w:val="24"/>
          <w:lang w:val="en-AU" w:eastAsia="de-AT"/>
        </w:rPr>
      </w:pPr>
      <w:r w:rsidRPr="007E5D11">
        <w:rPr>
          <w:color w:val="auto"/>
          <w:szCs w:val="24"/>
          <w:lang w:val="en-AU" w:eastAsia="de-AT"/>
        </w:rPr>
        <w:t>Discontinuation of IVIg treatment has resulted in remission of AMS within several days without sequelae.</w:t>
      </w:r>
    </w:p>
    <w:p w14:paraId="1E681B93" w14:textId="77777777" w:rsidR="00766F9E" w:rsidRPr="00AD2620" w:rsidRDefault="00766F9E" w:rsidP="00AD2620">
      <w:pPr>
        <w:autoSpaceDE w:val="0"/>
        <w:autoSpaceDN w:val="0"/>
        <w:adjustRightInd w:val="0"/>
        <w:rPr>
          <w:color w:val="auto"/>
          <w:szCs w:val="24"/>
          <w:lang w:val="en-AU" w:eastAsia="de-AT"/>
        </w:rPr>
      </w:pPr>
    </w:p>
    <w:p w14:paraId="1AF6A17C" w14:textId="77777777" w:rsidR="00AD2620" w:rsidRPr="007928D0" w:rsidRDefault="007E5D11" w:rsidP="00AD2620">
      <w:pPr>
        <w:autoSpaceDE w:val="0"/>
        <w:autoSpaceDN w:val="0"/>
        <w:adjustRightInd w:val="0"/>
        <w:rPr>
          <w:color w:val="auto"/>
          <w:szCs w:val="24"/>
          <w:u w:val="single"/>
          <w:lang w:val="en-AU"/>
        </w:rPr>
      </w:pPr>
      <w:r w:rsidRPr="007E5D11">
        <w:rPr>
          <w:color w:val="auto"/>
          <w:szCs w:val="24"/>
          <w:u w:val="single"/>
          <w:lang w:val="en-AU"/>
        </w:rPr>
        <w:t>Haemolytic anaemia</w:t>
      </w:r>
    </w:p>
    <w:p w14:paraId="029DC5AD" w14:textId="124CD12C" w:rsidR="007E5D11" w:rsidRDefault="007E5D11" w:rsidP="007E5D11">
      <w:pPr>
        <w:autoSpaceDE w:val="0"/>
        <w:autoSpaceDN w:val="0"/>
        <w:adjustRightInd w:val="0"/>
        <w:rPr>
          <w:color w:val="auto"/>
          <w:szCs w:val="24"/>
          <w:lang w:val="en-AU" w:eastAsia="de-AT"/>
        </w:rPr>
      </w:pPr>
      <w:r w:rsidRPr="007E5D11">
        <w:rPr>
          <w:color w:val="auto"/>
          <w:szCs w:val="24"/>
          <w:lang w:val="en-AU" w:eastAsia="de-AT"/>
        </w:rPr>
        <w:t xml:space="preserve">IVIg products can contain blood group antibodies which may act as haemolysins and induce </w:t>
      </w:r>
      <w:r w:rsidRPr="007E5D11">
        <w:rPr>
          <w:i/>
          <w:iCs/>
          <w:color w:val="auto"/>
          <w:szCs w:val="24"/>
          <w:lang w:val="en-AU" w:eastAsia="de-AT"/>
        </w:rPr>
        <w:t>in vivo</w:t>
      </w:r>
      <w:r w:rsidR="00766F9E">
        <w:rPr>
          <w:i/>
          <w:iCs/>
          <w:color w:val="auto"/>
          <w:szCs w:val="24"/>
          <w:lang w:val="en-AU" w:eastAsia="de-AT"/>
        </w:rPr>
        <w:t xml:space="preserve"> </w:t>
      </w:r>
      <w:r w:rsidRPr="007E5D11">
        <w:rPr>
          <w:color w:val="auto"/>
          <w:szCs w:val="24"/>
          <w:lang w:val="en-AU" w:eastAsia="de-AT"/>
        </w:rPr>
        <w:t xml:space="preserve">coating of red blood cells </w:t>
      </w:r>
      <w:r w:rsidR="0000276B">
        <w:rPr>
          <w:color w:val="auto"/>
          <w:szCs w:val="24"/>
          <w:lang w:val="en-AU" w:eastAsia="de-AT"/>
        </w:rPr>
        <w:t xml:space="preserve">(RBC) </w:t>
      </w:r>
      <w:r w:rsidRPr="007E5D11">
        <w:rPr>
          <w:color w:val="auto"/>
          <w:szCs w:val="24"/>
          <w:lang w:val="en-AU" w:eastAsia="de-AT"/>
        </w:rPr>
        <w:t>with immunoglobulin, causing a positive direct antiglobulin reaction (Coombs’</w:t>
      </w:r>
      <w:r w:rsidR="00766F9E">
        <w:rPr>
          <w:i/>
          <w:iCs/>
          <w:color w:val="auto"/>
          <w:szCs w:val="24"/>
          <w:lang w:val="en-AU" w:eastAsia="de-AT"/>
        </w:rPr>
        <w:t xml:space="preserve"> </w:t>
      </w:r>
      <w:r w:rsidRPr="007E5D11">
        <w:rPr>
          <w:color w:val="auto"/>
          <w:szCs w:val="24"/>
          <w:lang w:val="en-AU" w:eastAsia="de-AT"/>
        </w:rPr>
        <w:t xml:space="preserve">test) and, rarely, haemolysis. Haemolytic anaemia can develop </w:t>
      </w:r>
      <w:proofErr w:type="gramStart"/>
      <w:r w:rsidRPr="007E5D11">
        <w:rPr>
          <w:color w:val="auto"/>
          <w:szCs w:val="24"/>
          <w:lang w:val="en-AU" w:eastAsia="de-AT"/>
        </w:rPr>
        <w:t>subsequent to</w:t>
      </w:r>
      <w:proofErr w:type="gramEnd"/>
      <w:r w:rsidRPr="007E5D11">
        <w:rPr>
          <w:color w:val="auto"/>
          <w:szCs w:val="24"/>
          <w:lang w:val="en-AU" w:eastAsia="de-AT"/>
        </w:rPr>
        <w:t xml:space="preserve"> IVIg therapy due to</w:t>
      </w:r>
      <w:r w:rsidR="00766F9E">
        <w:rPr>
          <w:i/>
          <w:iCs/>
          <w:color w:val="auto"/>
          <w:szCs w:val="24"/>
          <w:lang w:val="en-AU" w:eastAsia="de-AT"/>
        </w:rPr>
        <w:t xml:space="preserve"> </w:t>
      </w:r>
      <w:r w:rsidRPr="007E5D11">
        <w:rPr>
          <w:color w:val="auto"/>
          <w:szCs w:val="24"/>
          <w:lang w:val="en-AU" w:eastAsia="de-AT"/>
        </w:rPr>
        <w:t xml:space="preserve">enhanced RBC sequestration. </w:t>
      </w:r>
      <w:r w:rsidR="002962C2" w:rsidRPr="00743235">
        <w:rPr>
          <w:color w:val="auto"/>
        </w:rPr>
        <w:t>IVIg recipients should be monitored for clinical signs and symptoms of haemolysis (see section 4.8).</w:t>
      </w:r>
      <w:r w:rsidR="002962C2">
        <w:rPr>
          <w:color w:val="auto"/>
        </w:rPr>
        <w:t xml:space="preserve"> </w:t>
      </w:r>
    </w:p>
    <w:p w14:paraId="79B53717" w14:textId="77777777" w:rsidR="003D3B75" w:rsidRDefault="003D3B75" w:rsidP="007E5D11">
      <w:pPr>
        <w:autoSpaceDE w:val="0"/>
        <w:autoSpaceDN w:val="0"/>
        <w:adjustRightInd w:val="0"/>
        <w:rPr>
          <w:color w:val="auto"/>
          <w:szCs w:val="24"/>
          <w:lang w:val="en-AU" w:eastAsia="de-AT"/>
        </w:rPr>
      </w:pPr>
    </w:p>
    <w:p w14:paraId="380F64DF" w14:textId="77777777" w:rsidR="003D3B75" w:rsidRPr="0038007D" w:rsidRDefault="003D3B75" w:rsidP="003D3B75">
      <w:pPr>
        <w:autoSpaceDE w:val="0"/>
        <w:autoSpaceDN w:val="0"/>
        <w:adjustRightInd w:val="0"/>
        <w:rPr>
          <w:color w:val="auto"/>
          <w:szCs w:val="24"/>
          <w:u w:val="single"/>
          <w:lang w:eastAsia="de-AT"/>
        </w:rPr>
      </w:pPr>
      <w:r w:rsidRPr="0038007D">
        <w:rPr>
          <w:color w:val="auto"/>
          <w:szCs w:val="24"/>
          <w:u w:val="single"/>
          <w:lang w:eastAsia="de-AT"/>
        </w:rPr>
        <w:t xml:space="preserve">Neutropenia/Leukopenia </w:t>
      </w:r>
    </w:p>
    <w:p w14:paraId="419D7EA0" w14:textId="77777777" w:rsidR="003D3B75" w:rsidRPr="009A381B" w:rsidRDefault="003D3B75" w:rsidP="003D3B75">
      <w:pPr>
        <w:autoSpaceDE w:val="0"/>
        <w:autoSpaceDN w:val="0"/>
        <w:adjustRightInd w:val="0"/>
        <w:rPr>
          <w:color w:val="auto"/>
          <w:szCs w:val="24"/>
          <w:lang w:eastAsia="de-AT"/>
        </w:rPr>
      </w:pPr>
      <w:r w:rsidRPr="009A381B">
        <w:rPr>
          <w:color w:val="auto"/>
          <w:szCs w:val="24"/>
          <w:lang w:eastAsia="de-AT"/>
        </w:rPr>
        <w:t>A transient decrease in neutrophil count and/or episodes of neutropenia, sometimes severe, have been reported after treatment with IVIg. This typically occurs within hours or days after IVIg administration and resolves spontaneously within 7 to 14 days.</w:t>
      </w:r>
    </w:p>
    <w:p w14:paraId="520FA221" w14:textId="77777777" w:rsidR="00BB77E7" w:rsidRDefault="00BB77E7" w:rsidP="003D3B75">
      <w:pPr>
        <w:autoSpaceDE w:val="0"/>
        <w:autoSpaceDN w:val="0"/>
        <w:adjustRightInd w:val="0"/>
        <w:rPr>
          <w:color w:val="auto"/>
          <w:szCs w:val="24"/>
          <w:u w:val="single"/>
          <w:lang w:val="en-AU"/>
        </w:rPr>
      </w:pPr>
    </w:p>
    <w:p w14:paraId="3CCBBC4E" w14:textId="77777777" w:rsidR="003D3B75" w:rsidRPr="00E012BD" w:rsidRDefault="003D3B75" w:rsidP="003D3B75">
      <w:pPr>
        <w:autoSpaceDE w:val="0"/>
        <w:autoSpaceDN w:val="0"/>
        <w:adjustRightInd w:val="0"/>
        <w:rPr>
          <w:color w:val="auto"/>
          <w:szCs w:val="24"/>
          <w:u w:val="single"/>
          <w:lang w:val="en-AU"/>
        </w:rPr>
      </w:pPr>
      <w:r w:rsidRPr="00E012BD">
        <w:rPr>
          <w:color w:val="auto"/>
          <w:szCs w:val="24"/>
          <w:u w:val="single"/>
          <w:lang w:val="en-AU"/>
        </w:rPr>
        <w:t>Transfusion-related acute lung injury (TRALI)</w:t>
      </w:r>
    </w:p>
    <w:p w14:paraId="6F03E0E3" w14:textId="4A191F8B" w:rsidR="003D3B75" w:rsidRPr="003D3B75" w:rsidRDefault="00BB77E7" w:rsidP="003D3B75">
      <w:pPr>
        <w:pStyle w:val="Text"/>
        <w:rPr>
          <w:lang w:val="en-AU" w:eastAsia="de-AT"/>
        </w:rPr>
      </w:pPr>
      <w:r>
        <w:rPr>
          <w:lang w:val="en-AU"/>
        </w:rPr>
        <w:t>In patients receiving IVIg, t</w:t>
      </w:r>
      <w:r w:rsidR="003D3B75" w:rsidRPr="006260FB">
        <w:rPr>
          <w:lang w:val="en-AU"/>
        </w:rPr>
        <w:t xml:space="preserve">here have been reports of </w:t>
      </w:r>
      <w:r w:rsidR="00BD2920">
        <w:rPr>
          <w:lang w:val="en-AU"/>
        </w:rPr>
        <w:t xml:space="preserve">acute </w:t>
      </w:r>
      <w:r w:rsidR="003D3B75" w:rsidRPr="006260FB">
        <w:rPr>
          <w:lang w:val="en-AU"/>
        </w:rPr>
        <w:t>non-cardiogenic pulmonary oedema [Transfusion-Related Acute Lung Injury (TRALI)</w:t>
      </w:r>
      <w:r w:rsidR="003D3B75">
        <w:rPr>
          <w:lang w:val="en-AU"/>
        </w:rPr>
        <w:t>]</w:t>
      </w:r>
      <w:r w:rsidR="00D040F8">
        <w:rPr>
          <w:lang w:val="en-AU"/>
        </w:rPr>
        <w:t>.</w:t>
      </w:r>
      <w:r w:rsidR="003D3B75" w:rsidRPr="006260FB">
        <w:rPr>
          <w:lang w:val="en-AU"/>
        </w:rPr>
        <w:t xml:space="preserve"> TRALI is characterised by severe </w:t>
      </w:r>
      <w:r>
        <w:rPr>
          <w:lang w:val="en-AU"/>
        </w:rPr>
        <w:t xml:space="preserve">hypoxia, dyspnoea, tachypnoea, cyanosis, </w:t>
      </w:r>
      <w:proofErr w:type="gramStart"/>
      <w:r>
        <w:rPr>
          <w:lang w:val="en-AU"/>
        </w:rPr>
        <w:t>fever</w:t>
      </w:r>
      <w:proofErr w:type="gramEnd"/>
      <w:r>
        <w:rPr>
          <w:lang w:val="en-AU"/>
        </w:rPr>
        <w:t xml:space="preserve"> and hypotension.</w:t>
      </w:r>
      <w:r w:rsidRPr="006260FB">
        <w:rPr>
          <w:lang w:val="en-AU"/>
        </w:rPr>
        <w:t xml:space="preserve"> </w:t>
      </w:r>
      <w:r>
        <w:rPr>
          <w:lang w:val="en-AU"/>
        </w:rPr>
        <w:t xml:space="preserve">Symptoms of TRALI </w:t>
      </w:r>
      <w:r w:rsidR="003D3B75" w:rsidRPr="006260FB">
        <w:rPr>
          <w:lang w:val="en-AU"/>
        </w:rPr>
        <w:t xml:space="preserve">typically </w:t>
      </w:r>
      <w:r>
        <w:rPr>
          <w:lang w:val="en-AU"/>
        </w:rPr>
        <w:t>develop during or</w:t>
      </w:r>
      <w:r w:rsidR="003D3B75" w:rsidRPr="006260FB">
        <w:rPr>
          <w:lang w:val="en-AU"/>
        </w:rPr>
        <w:t xml:space="preserve"> within 6 hours </w:t>
      </w:r>
      <w:r>
        <w:rPr>
          <w:lang w:val="en-AU"/>
        </w:rPr>
        <w:t>of a</w:t>
      </w:r>
      <w:r w:rsidR="003D3B75" w:rsidRPr="006260FB">
        <w:rPr>
          <w:lang w:val="en-AU"/>
        </w:rPr>
        <w:t xml:space="preserve"> transfusion</w:t>
      </w:r>
      <w:r>
        <w:rPr>
          <w:lang w:val="en-AU"/>
        </w:rPr>
        <w:t>, often within 1</w:t>
      </w:r>
      <w:bookmarkStart w:id="10" w:name="_Hlk158028765"/>
      <w:r w:rsidR="00BD2920">
        <w:rPr>
          <w:color w:val="auto"/>
        </w:rPr>
        <w:t>–</w:t>
      </w:r>
      <w:bookmarkEnd w:id="10"/>
      <w:r>
        <w:rPr>
          <w:lang w:val="en-AU"/>
        </w:rPr>
        <w:t>2 hours</w:t>
      </w:r>
      <w:r w:rsidRPr="006260FB">
        <w:rPr>
          <w:lang w:val="en-AU"/>
        </w:rPr>
        <w:t>.</w:t>
      </w:r>
      <w:r>
        <w:rPr>
          <w:lang w:val="en-AU"/>
        </w:rPr>
        <w:t xml:space="preserve"> Therefore, IVIg recipients must be monitored for and IVIg infusion must be immediately stopped in case of pulmonary adverse reactions. TRALI is a potentially life-threatening condition requiring immediate intensive-care-unit management.</w:t>
      </w:r>
    </w:p>
    <w:p w14:paraId="02D75B88" w14:textId="77777777" w:rsidR="002051D4" w:rsidRDefault="002051D4" w:rsidP="007E5D11">
      <w:pPr>
        <w:autoSpaceDE w:val="0"/>
        <w:autoSpaceDN w:val="0"/>
        <w:adjustRightInd w:val="0"/>
        <w:rPr>
          <w:color w:val="auto"/>
          <w:szCs w:val="24"/>
          <w:lang w:val="en-AU" w:eastAsia="de-AT"/>
        </w:rPr>
      </w:pPr>
    </w:p>
    <w:p w14:paraId="1ADF15A6" w14:textId="77777777" w:rsidR="00766F9E" w:rsidRPr="007928D0" w:rsidRDefault="007E5D11" w:rsidP="00766F9E">
      <w:pPr>
        <w:autoSpaceDE w:val="0"/>
        <w:autoSpaceDN w:val="0"/>
        <w:adjustRightInd w:val="0"/>
        <w:rPr>
          <w:color w:val="auto"/>
          <w:szCs w:val="24"/>
          <w:u w:val="single"/>
          <w:lang w:val="en-AU"/>
        </w:rPr>
      </w:pPr>
      <w:r w:rsidRPr="007E5D11">
        <w:rPr>
          <w:color w:val="auto"/>
          <w:szCs w:val="24"/>
          <w:u w:val="single"/>
          <w:lang w:val="en-AU"/>
        </w:rPr>
        <w:t>Interference with serological testing</w:t>
      </w:r>
    </w:p>
    <w:p w14:paraId="7B4E3F58" w14:textId="77777777" w:rsidR="00766F9E" w:rsidRPr="00984035" w:rsidRDefault="007E5D11" w:rsidP="00766F9E">
      <w:pPr>
        <w:autoSpaceDE w:val="0"/>
        <w:autoSpaceDN w:val="0"/>
        <w:adjustRightInd w:val="0"/>
        <w:rPr>
          <w:color w:val="auto"/>
          <w:szCs w:val="24"/>
          <w:lang w:val="en-AU" w:eastAsia="de-AT"/>
        </w:rPr>
      </w:pPr>
      <w:r w:rsidRPr="00984035">
        <w:rPr>
          <w:color w:val="auto"/>
          <w:szCs w:val="24"/>
          <w:lang w:val="en-AU" w:eastAsia="de-AT"/>
        </w:rPr>
        <w:t xml:space="preserve">After </w:t>
      </w:r>
      <w:r w:rsidR="003D3B75">
        <w:rPr>
          <w:color w:val="auto"/>
          <w:szCs w:val="24"/>
          <w:lang w:val="en-AU" w:eastAsia="de-AT"/>
        </w:rPr>
        <w:t>the administration</w:t>
      </w:r>
      <w:r w:rsidR="003D3B75" w:rsidRPr="00984035">
        <w:rPr>
          <w:color w:val="auto"/>
          <w:szCs w:val="24"/>
          <w:lang w:val="en-AU" w:eastAsia="de-AT"/>
        </w:rPr>
        <w:t xml:space="preserve"> </w:t>
      </w:r>
      <w:r w:rsidRPr="00984035">
        <w:rPr>
          <w:color w:val="auto"/>
          <w:szCs w:val="24"/>
          <w:lang w:val="en-AU" w:eastAsia="de-AT"/>
        </w:rPr>
        <w:t xml:space="preserve">of </w:t>
      </w:r>
      <w:proofErr w:type="gramStart"/>
      <w:r w:rsidRPr="00984035">
        <w:rPr>
          <w:color w:val="auto"/>
          <w:szCs w:val="24"/>
          <w:lang w:val="en-AU" w:eastAsia="de-AT"/>
        </w:rPr>
        <w:t>immunoglobulin</w:t>
      </w:r>
      <w:proofErr w:type="gramEnd"/>
      <w:r w:rsidRPr="00984035">
        <w:rPr>
          <w:color w:val="auto"/>
          <w:szCs w:val="24"/>
          <w:lang w:val="en-AU" w:eastAsia="de-AT"/>
        </w:rPr>
        <w:t xml:space="preserve"> the transitory rise of the various passively transferred antibod</w:t>
      </w:r>
      <w:r w:rsidR="00766F9E" w:rsidRPr="00984035">
        <w:rPr>
          <w:color w:val="auto"/>
          <w:szCs w:val="24"/>
          <w:lang w:val="en-AU" w:eastAsia="de-AT"/>
        </w:rPr>
        <w:t xml:space="preserve">ies in the </w:t>
      </w:r>
      <w:r w:rsidRPr="00984035">
        <w:rPr>
          <w:color w:val="auto"/>
          <w:szCs w:val="24"/>
          <w:lang w:val="en-AU" w:eastAsia="de-AT"/>
        </w:rPr>
        <w:t>patient’s blood may result in misleading positive results in serological testing.</w:t>
      </w:r>
    </w:p>
    <w:p w14:paraId="03E1131A" w14:textId="77777777" w:rsidR="007E5D11" w:rsidRPr="00984035" w:rsidRDefault="007E5D11" w:rsidP="003D3B75">
      <w:pPr>
        <w:autoSpaceDE w:val="0"/>
        <w:autoSpaceDN w:val="0"/>
        <w:adjustRightInd w:val="0"/>
        <w:spacing w:before="120"/>
        <w:rPr>
          <w:color w:val="auto"/>
          <w:szCs w:val="24"/>
          <w:lang w:val="en-AU" w:eastAsia="de-AT"/>
        </w:rPr>
      </w:pPr>
      <w:r w:rsidRPr="00984035">
        <w:rPr>
          <w:color w:val="auto"/>
          <w:szCs w:val="24"/>
          <w:lang w:val="en-AU" w:eastAsia="de-AT"/>
        </w:rPr>
        <w:t xml:space="preserve">Passive transmission of antibodies to erythrocyte antigens, e.g. </w:t>
      </w:r>
      <w:r w:rsidR="00766F9E" w:rsidRPr="00984035">
        <w:rPr>
          <w:color w:val="auto"/>
          <w:szCs w:val="24"/>
          <w:lang w:val="en-AU" w:eastAsia="de-AT"/>
        </w:rPr>
        <w:t xml:space="preserve">A, B, D may interfere with some </w:t>
      </w:r>
      <w:r w:rsidRPr="00984035">
        <w:rPr>
          <w:color w:val="auto"/>
          <w:szCs w:val="24"/>
          <w:lang w:val="en-AU" w:eastAsia="de-AT"/>
        </w:rPr>
        <w:t>serological tests for red cell antibodies for example the direct antiglobulin test (DAT, direct Coombs’ test).</w:t>
      </w:r>
    </w:p>
    <w:p w14:paraId="6CA670EF" w14:textId="77777777" w:rsidR="007E5D11" w:rsidRPr="007E5D11" w:rsidRDefault="007E5D11" w:rsidP="007E5D11">
      <w:pPr>
        <w:autoSpaceDE w:val="0"/>
        <w:autoSpaceDN w:val="0"/>
        <w:adjustRightInd w:val="0"/>
        <w:rPr>
          <w:rFonts w:ascii="TimesNewRoman" w:hAnsi="TimesNewRoman" w:cs="TimesNewRoman"/>
          <w:color w:val="auto"/>
          <w:szCs w:val="24"/>
          <w:lang w:val="en-AU" w:eastAsia="de-AT"/>
        </w:rPr>
      </w:pPr>
    </w:p>
    <w:p w14:paraId="48476C45" w14:textId="77777777" w:rsidR="007E5D11" w:rsidRPr="007E5D11" w:rsidRDefault="007E5D11" w:rsidP="007E5D11">
      <w:pPr>
        <w:autoSpaceDE w:val="0"/>
        <w:autoSpaceDN w:val="0"/>
        <w:adjustRightInd w:val="0"/>
        <w:rPr>
          <w:color w:val="auto"/>
          <w:szCs w:val="24"/>
          <w:u w:val="single"/>
          <w:lang w:val="en-AU"/>
        </w:rPr>
      </w:pPr>
      <w:r w:rsidRPr="007E5D11">
        <w:rPr>
          <w:color w:val="auto"/>
          <w:szCs w:val="24"/>
          <w:u w:val="single"/>
          <w:lang w:val="en-AU"/>
        </w:rPr>
        <w:t>Transmissible agents</w:t>
      </w:r>
    </w:p>
    <w:p w14:paraId="77117F2F" w14:textId="77777777" w:rsidR="007B729F" w:rsidRDefault="007B729F">
      <w:pPr>
        <w:pStyle w:val="Text"/>
        <w:rPr>
          <w:color w:val="auto"/>
        </w:rPr>
      </w:pPr>
      <w:r>
        <w:rPr>
          <w:color w:val="auto"/>
        </w:rPr>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This also applies to unknown or emerging viruses and other pathogens.</w:t>
      </w:r>
    </w:p>
    <w:p w14:paraId="75493265" w14:textId="77777777" w:rsidR="007B729F" w:rsidRDefault="007B729F">
      <w:pPr>
        <w:pStyle w:val="Text"/>
        <w:rPr>
          <w:color w:val="auto"/>
        </w:rPr>
      </w:pPr>
      <w:r>
        <w:rPr>
          <w:color w:val="auto"/>
        </w:rPr>
        <w:t xml:space="preserve">The measures taken are considered effective for enveloped viruses such as HIV, </w:t>
      </w:r>
      <w:proofErr w:type="gramStart"/>
      <w:r>
        <w:rPr>
          <w:color w:val="auto"/>
        </w:rPr>
        <w:t>HBV</w:t>
      </w:r>
      <w:proofErr w:type="gramEnd"/>
      <w:r>
        <w:rPr>
          <w:color w:val="auto"/>
        </w:rPr>
        <w:t xml:space="preserve"> and HCV.</w:t>
      </w:r>
    </w:p>
    <w:p w14:paraId="141F4481" w14:textId="77777777" w:rsidR="007B729F" w:rsidRDefault="007B729F">
      <w:pPr>
        <w:pStyle w:val="Text"/>
        <w:rPr>
          <w:color w:val="auto"/>
        </w:rPr>
      </w:pPr>
      <w:r>
        <w:rPr>
          <w:color w:val="auto"/>
        </w:rPr>
        <w:t>The measures taken may be of limited value against non-enveloped viruses such as HAV and parvovirus B19.</w:t>
      </w:r>
    </w:p>
    <w:p w14:paraId="0E93CD6D" w14:textId="77777777" w:rsidR="007B729F" w:rsidRDefault="007B729F">
      <w:pPr>
        <w:pStyle w:val="BodyTextIndent2"/>
        <w:ind w:left="0"/>
        <w:jc w:val="both"/>
        <w:rPr>
          <w:rFonts w:ascii="Times New Roman" w:hAnsi="Times New Roman"/>
        </w:rPr>
      </w:pPr>
      <w:r>
        <w:rPr>
          <w:rFonts w:ascii="Times New Roman" w:hAnsi="Times New Roman"/>
        </w:rPr>
        <w:lastRenderedPageBreak/>
        <w:t>There is a reassuring clinical experience regarding the lack of hepatitis A or parvovirus B19 transmission with immunoglobulins and it is also assumed that the antibody content makes an important contribution to the viral safety.</w:t>
      </w:r>
    </w:p>
    <w:p w14:paraId="573C89CA" w14:textId="77777777" w:rsidR="00513BDA" w:rsidRDefault="00513BDA">
      <w:pPr>
        <w:pStyle w:val="BodyTextIndent2"/>
        <w:ind w:left="0"/>
        <w:jc w:val="both"/>
        <w:rPr>
          <w:rFonts w:ascii="Times New Roman" w:hAnsi="Times New Roman"/>
        </w:rPr>
      </w:pPr>
    </w:p>
    <w:p w14:paraId="400ED6F0" w14:textId="77777777" w:rsidR="004459A1" w:rsidRDefault="007866CF" w:rsidP="00513BDA">
      <w:pPr>
        <w:autoSpaceDE w:val="0"/>
        <w:autoSpaceDN w:val="0"/>
        <w:adjustRightInd w:val="0"/>
        <w:rPr>
          <w:color w:val="auto"/>
          <w:u w:val="single"/>
        </w:rPr>
      </w:pPr>
      <w:r>
        <w:rPr>
          <w:color w:val="auto"/>
          <w:u w:val="single"/>
        </w:rPr>
        <w:t>Sodium content</w:t>
      </w:r>
    </w:p>
    <w:p w14:paraId="49E04F88" w14:textId="3343833F" w:rsidR="00513BDA" w:rsidRPr="00BC1CDC" w:rsidRDefault="00513BDA" w:rsidP="00513BDA">
      <w:pPr>
        <w:autoSpaceDE w:val="0"/>
        <w:autoSpaceDN w:val="0"/>
        <w:adjustRightInd w:val="0"/>
        <w:rPr>
          <w:color w:val="auto"/>
        </w:rPr>
      </w:pPr>
      <w:r w:rsidRPr="00C749D5">
        <w:rPr>
          <w:color w:val="auto"/>
        </w:rPr>
        <w:t xml:space="preserve">This medicinal product contains </w:t>
      </w:r>
      <w:r w:rsidR="004564F2" w:rsidRPr="00C749D5">
        <w:rPr>
          <w:color w:val="auto"/>
        </w:rPr>
        <w:t xml:space="preserve">69 </w:t>
      </w:r>
      <w:r w:rsidRPr="00C749D5">
        <w:rPr>
          <w:color w:val="auto"/>
        </w:rPr>
        <w:t>mg sodium per 100 ml</w:t>
      </w:r>
      <w:r w:rsidR="00C749D5">
        <w:rPr>
          <w:color w:val="auto"/>
        </w:rPr>
        <w:t>,</w:t>
      </w:r>
      <w:r w:rsidRPr="00C749D5">
        <w:rPr>
          <w:color w:val="auto"/>
        </w:rPr>
        <w:t xml:space="preserve"> equivalent to </w:t>
      </w:r>
      <w:r w:rsidR="004564F2" w:rsidRPr="00C749D5">
        <w:rPr>
          <w:color w:val="auto"/>
        </w:rPr>
        <w:t>3.45</w:t>
      </w:r>
      <w:r w:rsidRPr="00C749D5">
        <w:rPr>
          <w:color w:val="auto"/>
        </w:rPr>
        <w:t>% of the WHO recommended maximum daily intake of 2 g sodium for an adult.</w:t>
      </w:r>
    </w:p>
    <w:p w14:paraId="46A41D2B" w14:textId="77777777" w:rsidR="004459A1" w:rsidRDefault="004459A1" w:rsidP="00D21892">
      <w:pPr>
        <w:autoSpaceDE w:val="0"/>
        <w:autoSpaceDN w:val="0"/>
        <w:adjustRightInd w:val="0"/>
        <w:rPr>
          <w:color w:val="auto"/>
          <w:szCs w:val="24"/>
          <w:u w:val="single"/>
          <w:lang w:val="en-AU"/>
        </w:rPr>
      </w:pPr>
    </w:p>
    <w:p w14:paraId="6FA6CC37" w14:textId="05CDE3AD" w:rsidR="00D21892" w:rsidRPr="00E012BD" w:rsidRDefault="00D21892" w:rsidP="00D21892">
      <w:pPr>
        <w:autoSpaceDE w:val="0"/>
        <w:autoSpaceDN w:val="0"/>
        <w:adjustRightInd w:val="0"/>
        <w:rPr>
          <w:color w:val="auto"/>
          <w:szCs w:val="24"/>
          <w:u w:val="single"/>
          <w:lang w:val="en-AU"/>
        </w:rPr>
      </w:pPr>
      <w:r w:rsidRPr="00E012BD">
        <w:rPr>
          <w:color w:val="auto"/>
          <w:szCs w:val="24"/>
          <w:u w:val="single"/>
          <w:lang w:val="en-AU"/>
        </w:rPr>
        <w:t>(Falsely) raised erythrocyte sedimentation rate</w:t>
      </w:r>
    </w:p>
    <w:p w14:paraId="6CF53FF5" w14:textId="5AD913E7" w:rsidR="00D21892" w:rsidRDefault="00D21892" w:rsidP="00D21892">
      <w:pPr>
        <w:pStyle w:val="Text"/>
        <w:rPr>
          <w:lang w:val="en-AU"/>
        </w:rPr>
      </w:pPr>
      <w:r w:rsidRPr="00E012BD">
        <w:rPr>
          <w:lang w:val="en-AU"/>
        </w:rPr>
        <w:t>In patients who are receiving IVI</w:t>
      </w:r>
      <w:r w:rsidR="00CE4F5F">
        <w:rPr>
          <w:lang w:val="en-AU"/>
        </w:rPr>
        <w:t>g</w:t>
      </w:r>
      <w:r w:rsidRPr="00E012BD">
        <w:rPr>
          <w:lang w:val="en-AU"/>
        </w:rPr>
        <w:t xml:space="preserve"> as a therapy, the erythrocyte sedimentation rate (ESR) may falsely be increased (noninflammatory rise).</w:t>
      </w:r>
    </w:p>
    <w:p w14:paraId="17A37C16" w14:textId="77777777" w:rsidR="00D21892" w:rsidRPr="00E012BD" w:rsidRDefault="00D21892" w:rsidP="00D21892">
      <w:pPr>
        <w:pStyle w:val="Text"/>
        <w:rPr>
          <w:lang w:val="en-AU"/>
        </w:rPr>
      </w:pPr>
    </w:p>
    <w:p w14:paraId="75DC28FD" w14:textId="77777777" w:rsidR="00D21892" w:rsidRPr="00E012BD" w:rsidRDefault="00D21892" w:rsidP="00D21892">
      <w:pPr>
        <w:autoSpaceDE w:val="0"/>
        <w:autoSpaceDN w:val="0"/>
        <w:adjustRightInd w:val="0"/>
        <w:rPr>
          <w:color w:val="auto"/>
          <w:szCs w:val="24"/>
          <w:u w:val="single"/>
          <w:lang w:val="en-AU"/>
        </w:rPr>
      </w:pPr>
      <w:r w:rsidRPr="00E012BD">
        <w:rPr>
          <w:color w:val="auto"/>
          <w:szCs w:val="24"/>
          <w:u w:val="single"/>
          <w:lang w:val="en-AU"/>
        </w:rPr>
        <w:t>Circulatory (volume) overload</w:t>
      </w:r>
    </w:p>
    <w:p w14:paraId="1A1D5950" w14:textId="54DD5863" w:rsidR="00D21892" w:rsidRPr="00F42BDD" w:rsidRDefault="00D21892" w:rsidP="00D21892">
      <w:pPr>
        <w:pStyle w:val="Text"/>
      </w:pPr>
      <w:r w:rsidRPr="00D90C1D">
        <w:t xml:space="preserve">Circulatory (volume) overload can occur when the volume of the infused </w:t>
      </w:r>
      <w:r w:rsidR="00CE4F5F" w:rsidRPr="00D90C1D">
        <w:t>IVI</w:t>
      </w:r>
      <w:r w:rsidR="00CE4F5F">
        <w:t>g</w:t>
      </w:r>
      <w:r w:rsidR="00CE4F5F" w:rsidRPr="00D90C1D">
        <w:t xml:space="preserve"> </w:t>
      </w:r>
      <w:r w:rsidRPr="00D90C1D">
        <w:t>(or</w:t>
      </w:r>
      <w:r>
        <w:t xml:space="preserve"> </w:t>
      </w:r>
      <w:r w:rsidRPr="00D90C1D">
        <w:t>any other blood or plasma-derived product) and other coincidental infusions cause acute</w:t>
      </w:r>
      <w:r>
        <w:t xml:space="preserve"> </w:t>
      </w:r>
      <w:r w:rsidRPr="00D90C1D">
        <w:t>hypervolaemia and acute pulmonary oedema.</w:t>
      </w:r>
    </w:p>
    <w:p w14:paraId="72F81F03" w14:textId="77777777" w:rsidR="00D21892" w:rsidRPr="00E012BD" w:rsidRDefault="00D21892" w:rsidP="00D21892">
      <w:pPr>
        <w:autoSpaceDE w:val="0"/>
        <w:autoSpaceDN w:val="0"/>
        <w:adjustRightInd w:val="0"/>
        <w:rPr>
          <w:color w:val="auto"/>
          <w:szCs w:val="24"/>
          <w:u w:val="single"/>
        </w:rPr>
      </w:pPr>
    </w:p>
    <w:p w14:paraId="33CAA4D6" w14:textId="77777777" w:rsidR="00D21892" w:rsidRPr="001314DC" w:rsidRDefault="00D21892" w:rsidP="00D21892">
      <w:pPr>
        <w:jc w:val="both"/>
        <w:rPr>
          <w:szCs w:val="24"/>
          <w:u w:val="single"/>
        </w:rPr>
      </w:pPr>
      <w:r w:rsidRPr="001314DC">
        <w:rPr>
          <w:szCs w:val="24"/>
          <w:u w:val="single"/>
        </w:rPr>
        <w:t xml:space="preserve">Local </w:t>
      </w:r>
      <w:r>
        <w:rPr>
          <w:szCs w:val="24"/>
          <w:u w:val="single"/>
        </w:rPr>
        <w:t xml:space="preserve">injection site </w:t>
      </w:r>
      <w:r w:rsidRPr="001314DC">
        <w:rPr>
          <w:szCs w:val="24"/>
          <w:u w:val="single"/>
        </w:rPr>
        <w:t>reactions:</w:t>
      </w:r>
    </w:p>
    <w:p w14:paraId="00226B34" w14:textId="77777777" w:rsidR="007E5D11" w:rsidRDefault="00D21892" w:rsidP="00D21892">
      <w:pPr>
        <w:autoSpaceDE w:val="0"/>
        <w:autoSpaceDN w:val="0"/>
        <w:adjustRightInd w:val="0"/>
        <w:rPr>
          <w:lang w:val="en-AU"/>
        </w:rPr>
      </w:pPr>
      <w:r>
        <w:rPr>
          <w:lang w:val="en-AU"/>
        </w:rPr>
        <w:t>Local reactions at the injection site have been identified which might include extravasation, infusion site erythema, infusion site pruritus, and similar symptoms.</w:t>
      </w:r>
    </w:p>
    <w:p w14:paraId="43776BFA" w14:textId="77777777" w:rsidR="00D21892" w:rsidRPr="007E5D11" w:rsidRDefault="00D21892" w:rsidP="00D21892">
      <w:pPr>
        <w:autoSpaceDE w:val="0"/>
        <w:autoSpaceDN w:val="0"/>
        <w:adjustRightInd w:val="0"/>
        <w:rPr>
          <w:color w:val="auto"/>
          <w:szCs w:val="24"/>
          <w:u w:val="single"/>
          <w:lang w:val="en-AU"/>
        </w:rPr>
      </w:pPr>
    </w:p>
    <w:p w14:paraId="5776379A" w14:textId="77777777" w:rsidR="007E5D11" w:rsidRPr="002160FF" w:rsidRDefault="007E5D11" w:rsidP="007E5D11">
      <w:pPr>
        <w:autoSpaceDE w:val="0"/>
        <w:autoSpaceDN w:val="0"/>
        <w:adjustRightInd w:val="0"/>
        <w:rPr>
          <w:color w:val="auto"/>
          <w:szCs w:val="24"/>
          <w:u w:val="single"/>
          <w:lang w:val="en-AU"/>
        </w:rPr>
      </w:pPr>
      <w:r w:rsidRPr="007E5D11">
        <w:rPr>
          <w:color w:val="auto"/>
          <w:szCs w:val="24"/>
          <w:u w:val="single"/>
          <w:lang w:val="en-AU"/>
        </w:rPr>
        <w:t>Paediatric population</w:t>
      </w:r>
    </w:p>
    <w:p w14:paraId="6D3FF8BE" w14:textId="77777777" w:rsidR="007E5D11" w:rsidRDefault="00591941" w:rsidP="007E5D11">
      <w:pPr>
        <w:autoSpaceDE w:val="0"/>
        <w:autoSpaceDN w:val="0"/>
        <w:adjustRightInd w:val="0"/>
        <w:rPr>
          <w:color w:val="auto"/>
          <w:szCs w:val="24"/>
        </w:rPr>
      </w:pPr>
      <w:r>
        <w:rPr>
          <w:color w:val="auto"/>
          <w:szCs w:val="24"/>
        </w:rPr>
        <w:t>The listed warnings and precautions apply both to adults and children.</w:t>
      </w:r>
    </w:p>
    <w:p w14:paraId="4A367D25" w14:textId="77777777" w:rsidR="007B729F" w:rsidRPr="00CF241C" w:rsidRDefault="007B729F">
      <w:pPr>
        <w:pStyle w:val="Formatvorlageberschrift2AutomatischBlock"/>
        <w:rPr>
          <w:lang w:val="en-US"/>
        </w:rPr>
      </w:pPr>
      <w:r w:rsidRPr="00CF241C">
        <w:rPr>
          <w:lang w:val="en-US"/>
        </w:rPr>
        <w:t>Interaction with other medicinal products and other forms of interactions</w:t>
      </w:r>
    </w:p>
    <w:p w14:paraId="276BD27A" w14:textId="77777777" w:rsidR="007B729F" w:rsidRDefault="007B729F">
      <w:pPr>
        <w:pStyle w:val="Text"/>
        <w:jc w:val="left"/>
        <w:rPr>
          <w:color w:val="auto"/>
          <w:u w:val="single"/>
        </w:rPr>
      </w:pPr>
      <w:r>
        <w:rPr>
          <w:color w:val="auto"/>
          <w:u w:val="single"/>
        </w:rPr>
        <w:t>Live attenuated virus vaccines</w:t>
      </w:r>
    </w:p>
    <w:p w14:paraId="2E518593" w14:textId="77777777" w:rsidR="00BD2920" w:rsidRDefault="007B729F">
      <w:pPr>
        <w:pStyle w:val="Text"/>
        <w:rPr>
          <w:color w:val="auto"/>
        </w:rPr>
      </w:pPr>
      <w:r>
        <w:rPr>
          <w:color w:val="auto"/>
        </w:rPr>
        <w:t xml:space="preserve">Immunoglobulin administration may impair for a period of at least 6 weeks and up to 3 months the efficacy of live attenuated virus vaccines such as measles, rubella, </w:t>
      </w:r>
      <w:proofErr w:type="gramStart"/>
      <w:r>
        <w:rPr>
          <w:color w:val="auto"/>
        </w:rPr>
        <w:t>mumps</w:t>
      </w:r>
      <w:proofErr w:type="gramEnd"/>
      <w:r>
        <w:rPr>
          <w:color w:val="auto"/>
        </w:rPr>
        <w:t xml:space="preserve"> and varicella. After administration of this </w:t>
      </w:r>
      <w:r w:rsidR="00090086">
        <w:rPr>
          <w:color w:val="auto"/>
        </w:rPr>
        <w:t xml:space="preserve">medicinal </w:t>
      </w:r>
      <w:r>
        <w:rPr>
          <w:color w:val="auto"/>
        </w:rPr>
        <w:t xml:space="preserve">product, an interval of 3 months should elapse before vaccination with live attenuated virus vaccines. In the case of measles, this impairment may persist for up to 1 year. </w:t>
      </w:r>
    </w:p>
    <w:p w14:paraId="6E766A95" w14:textId="7E7A2104" w:rsidR="007B729F" w:rsidRDefault="007B729F">
      <w:pPr>
        <w:pStyle w:val="Text"/>
        <w:rPr>
          <w:color w:val="auto"/>
        </w:rPr>
      </w:pPr>
      <w:r>
        <w:rPr>
          <w:color w:val="auto"/>
        </w:rPr>
        <w:t>Therefore, patients receiving measles vaccine should have their antibody status checked.</w:t>
      </w:r>
    </w:p>
    <w:p w14:paraId="4FE3D548" w14:textId="77777777" w:rsidR="00090086" w:rsidRDefault="00090086">
      <w:pPr>
        <w:pStyle w:val="Text"/>
        <w:rPr>
          <w:color w:val="auto"/>
        </w:rPr>
      </w:pPr>
    </w:p>
    <w:p w14:paraId="727A0E6F" w14:textId="77777777" w:rsidR="00090086" w:rsidRPr="0038007D" w:rsidRDefault="00090086" w:rsidP="00090086">
      <w:pPr>
        <w:autoSpaceDE w:val="0"/>
        <w:autoSpaceDN w:val="0"/>
        <w:adjustRightInd w:val="0"/>
        <w:rPr>
          <w:color w:val="auto"/>
          <w:u w:val="single"/>
        </w:rPr>
      </w:pPr>
      <w:r w:rsidRPr="0038007D">
        <w:rPr>
          <w:color w:val="auto"/>
          <w:u w:val="single"/>
        </w:rPr>
        <w:t xml:space="preserve">Loop diuretics </w:t>
      </w:r>
    </w:p>
    <w:p w14:paraId="4F88AC03" w14:textId="77777777" w:rsidR="00090086" w:rsidRPr="00743235" w:rsidRDefault="00090086" w:rsidP="00090086">
      <w:pPr>
        <w:pStyle w:val="Text"/>
        <w:spacing w:before="0" w:after="0"/>
        <w:rPr>
          <w:color w:val="auto"/>
        </w:rPr>
      </w:pPr>
      <w:r w:rsidRPr="00CF06F2">
        <w:rPr>
          <w:color w:val="auto"/>
        </w:rPr>
        <w:t>Avoidance of concomitant use of loop diuretics</w:t>
      </w:r>
    </w:p>
    <w:p w14:paraId="493BDA50" w14:textId="77777777" w:rsidR="00090086" w:rsidRDefault="00090086">
      <w:pPr>
        <w:pStyle w:val="Text"/>
        <w:rPr>
          <w:color w:val="auto"/>
        </w:rPr>
      </w:pPr>
    </w:p>
    <w:p w14:paraId="18330622" w14:textId="77777777" w:rsidR="007B729F" w:rsidRDefault="007B729F">
      <w:pPr>
        <w:pStyle w:val="Text"/>
        <w:rPr>
          <w:color w:val="auto"/>
          <w:u w:val="single"/>
        </w:rPr>
      </w:pPr>
      <w:r>
        <w:rPr>
          <w:color w:val="auto"/>
          <w:u w:val="single"/>
        </w:rPr>
        <w:t>Blood Glucose Testing</w:t>
      </w:r>
    </w:p>
    <w:p w14:paraId="787EFC5F" w14:textId="300736B8" w:rsidR="007B729F" w:rsidRDefault="007B729F">
      <w:pPr>
        <w:autoSpaceDE w:val="0"/>
        <w:autoSpaceDN w:val="0"/>
        <w:adjustRightInd w:val="0"/>
        <w:jc w:val="both"/>
        <w:rPr>
          <w:color w:val="auto"/>
        </w:rPr>
      </w:pPr>
      <w:r>
        <w:rPr>
          <w:color w:val="auto"/>
        </w:rPr>
        <w:t xml:space="preserve">Some types of blood glucose testing systems (for example, those based on the glucose dehydrogenase </w:t>
      </w:r>
      <w:proofErr w:type="spellStart"/>
      <w:r>
        <w:rPr>
          <w:color w:val="auto"/>
        </w:rPr>
        <w:t>pyrroloquinolinequinone</w:t>
      </w:r>
      <w:proofErr w:type="spellEnd"/>
      <w:r>
        <w:rPr>
          <w:color w:val="auto"/>
        </w:rPr>
        <w:t xml:space="preserve"> (GDH-PQQ) or glucose-dye-oxidoreductase methods) falsely interpret the maltose (90 mg/ml) contained in </w:t>
      </w:r>
      <w:proofErr w:type="spellStart"/>
      <w:r>
        <w:rPr>
          <w:color w:val="auto"/>
        </w:rPr>
        <w:t>Octagam</w:t>
      </w:r>
      <w:proofErr w:type="spellEnd"/>
      <w:r>
        <w:rPr>
          <w:color w:val="auto"/>
        </w:rPr>
        <w:t xml:space="preserve"> 10% as glucose. This may result in falsely elevated glucose readings </w:t>
      </w:r>
      <w:r>
        <w:rPr>
          <w:rStyle w:val="Strong"/>
          <w:b w:val="0"/>
          <w:bCs w:val="0"/>
          <w:color w:val="auto"/>
        </w:rPr>
        <w:t>during an infusion and</w:t>
      </w:r>
      <w:r>
        <w:rPr>
          <w:color w:val="auto"/>
        </w:rPr>
        <w:t xml:space="preserve"> </w:t>
      </w:r>
      <w:r>
        <w:rPr>
          <w:iCs/>
          <w:color w:val="auto"/>
        </w:rPr>
        <w:t xml:space="preserve">for a period of about 15 hours after the end of the infusion </w:t>
      </w:r>
      <w:r>
        <w:rPr>
          <w:color w:val="auto"/>
        </w:rPr>
        <w:t xml:space="preserve">and, consequently, in the inappropriate administration of insulin, resulting in life-threatening </w:t>
      </w:r>
      <w:r>
        <w:rPr>
          <w:color w:val="auto"/>
          <w:szCs w:val="24"/>
        </w:rPr>
        <w:t xml:space="preserve">or even fatal </w:t>
      </w:r>
      <w:proofErr w:type="spellStart"/>
      <w:r>
        <w:rPr>
          <w:color w:val="auto"/>
        </w:rPr>
        <w:t>hypoglycemia</w:t>
      </w:r>
      <w:proofErr w:type="spellEnd"/>
      <w:r>
        <w:rPr>
          <w:color w:val="auto"/>
        </w:rPr>
        <w:t xml:space="preserve">. Also, cases of true </w:t>
      </w:r>
      <w:proofErr w:type="spellStart"/>
      <w:r>
        <w:rPr>
          <w:color w:val="auto"/>
        </w:rPr>
        <w:t>hypoglycemia</w:t>
      </w:r>
      <w:proofErr w:type="spellEnd"/>
      <w:r>
        <w:rPr>
          <w:color w:val="auto"/>
        </w:rPr>
        <w:t xml:space="preserve"> may go untreated if the </w:t>
      </w:r>
      <w:proofErr w:type="spellStart"/>
      <w:r>
        <w:rPr>
          <w:color w:val="auto"/>
        </w:rPr>
        <w:t>hypoglycemic</w:t>
      </w:r>
      <w:proofErr w:type="spellEnd"/>
      <w:r>
        <w:rPr>
          <w:color w:val="auto"/>
        </w:rPr>
        <w:t xml:space="preserve"> state is masked by falsely elevated glucose readings. Accordingly, when administering </w:t>
      </w:r>
      <w:proofErr w:type="spellStart"/>
      <w:r>
        <w:rPr>
          <w:color w:val="auto"/>
        </w:rPr>
        <w:t>Octagam</w:t>
      </w:r>
      <w:proofErr w:type="spellEnd"/>
      <w:r>
        <w:rPr>
          <w:color w:val="auto"/>
        </w:rPr>
        <w:t xml:space="preserve"> 10% or other parenteral maltose- containing products, the measurement of blood glucose must be done with a glucose-specific method. </w:t>
      </w:r>
    </w:p>
    <w:p w14:paraId="3AA4C74B" w14:textId="77777777" w:rsidR="00090086" w:rsidRDefault="00090086">
      <w:pPr>
        <w:autoSpaceDE w:val="0"/>
        <w:autoSpaceDN w:val="0"/>
        <w:adjustRightInd w:val="0"/>
        <w:jc w:val="both"/>
        <w:rPr>
          <w:color w:val="auto"/>
        </w:rPr>
      </w:pPr>
    </w:p>
    <w:p w14:paraId="5E7E489C" w14:textId="77777777" w:rsidR="007B729F" w:rsidRDefault="007B729F">
      <w:pPr>
        <w:autoSpaceDE w:val="0"/>
        <w:autoSpaceDN w:val="0"/>
        <w:adjustRightInd w:val="0"/>
        <w:jc w:val="both"/>
        <w:rPr>
          <w:color w:val="auto"/>
          <w:sz w:val="22"/>
        </w:rPr>
      </w:pPr>
      <w:r>
        <w:rPr>
          <w:color w:val="auto"/>
        </w:rPr>
        <w:t>The product information of the blood glucose testing system, including that of the test strips, should be carefully reviewed to determine if the system is appropriate for use with maltose-containing parenteral products. If any uncertainty exists, contact the manufacturer of the testing system to determine if the system is appropriate for use with maltose- containing parenteral products</w:t>
      </w:r>
      <w:r>
        <w:rPr>
          <w:color w:val="auto"/>
          <w:sz w:val="22"/>
        </w:rPr>
        <w:t>.</w:t>
      </w:r>
    </w:p>
    <w:p w14:paraId="2DB463A3" w14:textId="77777777" w:rsidR="00B762E1" w:rsidRDefault="00B762E1">
      <w:pPr>
        <w:autoSpaceDE w:val="0"/>
        <w:autoSpaceDN w:val="0"/>
        <w:adjustRightInd w:val="0"/>
        <w:jc w:val="both"/>
        <w:rPr>
          <w:color w:val="auto"/>
          <w:sz w:val="22"/>
        </w:rPr>
      </w:pPr>
    </w:p>
    <w:p w14:paraId="7C5F2B52" w14:textId="77777777" w:rsidR="008C25EA" w:rsidRDefault="007E5D11" w:rsidP="0017395C">
      <w:pPr>
        <w:autoSpaceDE w:val="0"/>
        <w:autoSpaceDN w:val="0"/>
        <w:adjustRightInd w:val="0"/>
        <w:rPr>
          <w:color w:val="auto"/>
          <w:szCs w:val="24"/>
          <w:lang w:val="en-AU"/>
        </w:rPr>
      </w:pPr>
      <w:r w:rsidRPr="007E5D11">
        <w:rPr>
          <w:color w:val="auto"/>
          <w:szCs w:val="24"/>
          <w:u w:val="single"/>
          <w:lang w:val="en-AU"/>
        </w:rPr>
        <w:t>Paediatric population</w:t>
      </w:r>
    </w:p>
    <w:p w14:paraId="6A0DD116" w14:textId="77777777" w:rsidR="00B762E1" w:rsidRPr="000C387E" w:rsidRDefault="00591941" w:rsidP="0017395C">
      <w:pPr>
        <w:autoSpaceDE w:val="0"/>
        <w:autoSpaceDN w:val="0"/>
        <w:adjustRightInd w:val="0"/>
        <w:rPr>
          <w:color w:val="auto"/>
          <w:szCs w:val="24"/>
        </w:rPr>
      </w:pPr>
      <w:r>
        <w:rPr>
          <w:color w:val="auto"/>
          <w:szCs w:val="24"/>
        </w:rPr>
        <w:t>The listed interactions apply both to adults and children.</w:t>
      </w:r>
    </w:p>
    <w:p w14:paraId="2F1B3334" w14:textId="77777777" w:rsidR="0017395C" w:rsidRDefault="0017395C" w:rsidP="0017395C">
      <w:pPr>
        <w:autoSpaceDE w:val="0"/>
        <w:autoSpaceDN w:val="0"/>
        <w:adjustRightInd w:val="0"/>
        <w:rPr>
          <w:color w:val="auto"/>
          <w:sz w:val="22"/>
        </w:rPr>
      </w:pPr>
    </w:p>
    <w:p w14:paraId="41880F2F" w14:textId="77777777" w:rsidR="007B729F" w:rsidRDefault="00B762E1">
      <w:pPr>
        <w:pStyle w:val="Formatvorlageberschrift2AutomatischBlock"/>
      </w:pPr>
      <w:proofErr w:type="spellStart"/>
      <w:r>
        <w:t>Fertility</w:t>
      </w:r>
      <w:proofErr w:type="spellEnd"/>
      <w:r>
        <w:t xml:space="preserve">, </w:t>
      </w:r>
      <w:proofErr w:type="spellStart"/>
      <w:r>
        <w:t>p</w:t>
      </w:r>
      <w:r w:rsidR="007B729F">
        <w:t>regnancy</w:t>
      </w:r>
      <w:proofErr w:type="spellEnd"/>
      <w:r w:rsidR="007B729F">
        <w:t xml:space="preserve"> and lactation</w:t>
      </w:r>
    </w:p>
    <w:p w14:paraId="1BBB47E2" w14:textId="77777777" w:rsidR="00F37FBC" w:rsidRPr="00F37FBC" w:rsidRDefault="007E5D11">
      <w:pPr>
        <w:pStyle w:val="Text"/>
        <w:rPr>
          <w:color w:val="auto"/>
          <w:u w:val="single"/>
        </w:rPr>
      </w:pPr>
      <w:proofErr w:type="spellStart"/>
      <w:r w:rsidRPr="007E5D11">
        <w:rPr>
          <w:color w:val="auto"/>
          <w:u w:val="single"/>
          <w:lang w:val="de-AT"/>
        </w:rPr>
        <w:t>Pregnancy</w:t>
      </w:r>
      <w:proofErr w:type="spellEnd"/>
    </w:p>
    <w:p w14:paraId="68C26F94" w14:textId="1FCAEF90" w:rsidR="00BD2920" w:rsidRDefault="007B729F">
      <w:pPr>
        <w:pStyle w:val="Text"/>
        <w:rPr>
          <w:color w:val="auto"/>
          <w:lang w:val="en-AU"/>
        </w:rPr>
      </w:pPr>
      <w:r>
        <w:rPr>
          <w:color w:val="auto"/>
        </w:rPr>
        <w:t xml:space="preserve">The safety of this medicinal product for use in human pregnancy has not been established in controlled clinical trials and therefore should only be given with caution to pregnant women. </w:t>
      </w:r>
      <w:r w:rsidR="007E5D11" w:rsidRPr="007E5D11">
        <w:rPr>
          <w:color w:val="auto"/>
          <w:lang w:val="en-AU"/>
        </w:rPr>
        <w:t xml:space="preserve">IVIg products have been shown to cross the placenta, increasingly </w:t>
      </w:r>
      <w:r w:rsidR="00517F21">
        <w:rPr>
          <w:color w:val="auto"/>
          <w:lang w:val="en-AU"/>
        </w:rPr>
        <w:t>during</w:t>
      </w:r>
      <w:r w:rsidR="007E5D11" w:rsidRPr="007E5D11">
        <w:rPr>
          <w:color w:val="auto"/>
          <w:lang w:val="en-AU"/>
        </w:rPr>
        <w:t xml:space="preserve"> the third trimester.</w:t>
      </w:r>
      <w:r w:rsidR="00F37FBC">
        <w:rPr>
          <w:color w:val="auto"/>
          <w:lang w:val="en-AU"/>
        </w:rPr>
        <w:t xml:space="preserve"> </w:t>
      </w:r>
    </w:p>
    <w:p w14:paraId="7AC1595A" w14:textId="087E1A45" w:rsidR="00F37FBC" w:rsidRDefault="007B729F">
      <w:pPr>
        <w:pStyle w:val="Text"/>
        <w:rPr>
          <w:color w:val="auto"/>
        </w:rPr>
      </w:pPr>
      <w:r>
        <w:rPr>
          <w:color w:val="auto"/>
        </w:rPr>
        <w:t xml:space="preserve">Clinical experience with immunoglobulins suggests that no harmful effects on the course of pregnancy, or on the foetus and the neonate are to be expected. </w:t>
      </w:r>
    </w:p>
    <w:p w14:paraId="668DD0FF" w14:textId="77777777" w:rsidR="00F37FBC" w:rsidRPr="00F37FBC" w:rsidRDefault="007E5D11">
      <w:pPr>
        <w:pStyle w:val="Text"/>
        <w:rPr>
          <w:color w:val="auto"/>
          <w:u w:val="single"/>
          <w:lang w:val="en-AU"/>
        </w:rPr>
      </w:pPr>
      <w:r w:rsidRPr="007E5D11">
        <w:rPr>
          <w:color w:val="auto"/>
          <w:u w:val="single"/>
          <w:lang w:val="en-AU"/>
        </w:rPr>
        <w:t>Breast-feeding</w:t>
      </w:r>
    </w:p>
    <w:p w14:paraId="6997B7DA" w14:textId="5A85C810" w:rsidR="00A41A78" w:rsidRDefault="0000276B" w:rsidP="00A41A78">
      <w:pPr>
        <w:pStyle w:val="Text"/>
        <w:spacing w:before="0" w:after="0"/>
        <w:rPr>
          <w:color w:val="auto"/>
        </w:rPr>
      </w:pPr>
      <w:r w:rsidRPr="0000276B">
        <w:rPr>
          <w:color w:val="auto"/>
          <w:lang w:val="en-US"/>
        </w:rPr>
        <w:t xml:space="preserve">The safety of this medicinal product for use in human pregnancy has not been established in controlled clinical trials and therefore should only be given with caution to breast-feeding mothers. </w:t>
      </w:r>
      <w:r w:rsidR="007B729F">
        <w:rPr>
          <w:color w:val="auto"/>
        </w:rPr>
        <w:t xml:space="preserve">Immunoglobulins are excreted into </w:t>
      </w:r>
      <w:r w:rsidR="00A41A78">
        <w:rPr>
          <w:color w:val="auto"/>
        </w:rPr>
        <w:t>human</w:t>
      </w:r>
      <w:r w:rsidR="007B729F">
        <w:rPr>
          <w:color w:val="auto"/>
        </w:rPr>
        <w:t xml:space="preserve"> milk</w:t>
      </w:r>
      <w:r w:rsidR="00A41A78">
        <w:rPr>
          <w:color w:val="auto"/>
        </w:rPr>
        <w:t>.</w:t>
      </w:r>
      <w:r w:rsidR="007B729F">
        <w:rPr>
          <w:color w:val="auto"/>
        </w:rPr>
        <w:t xml:space="preserve"> </w:t>
      </w:r>
      <w:r w:rsidR="00A41A78">
        <w:rPr>
          <w:color w:val="auto"/>
          <w:lang w:val="en-AU"/>
        </w:rPr>
        <w:t>No negative effects on the breastfed newborns/infants are anticipated.</w:t>
      </w:r>
    </w:p>
    <w:p w14:paraId="7C7511A4" w14:textId="77777777" w:rsidR="00F37FBC" w:rsidRDefault="007E5D11" w:rsidP="00F37FBC">
      <w:pPr>
        <w:pStyle w:val="Text"/>
        <w:rPr>
          <w:color w:val="auto"/>
          <w:u w:val="single"/>
          <w:lang w:val="en-AU"/>
        </w:rPr>
      </w:pPr>
      <w:r w:rsidRPr="007E5D11">
        <w:rPr>
          <w:color w:val="auto"/>
          <w:u w:val="single"/>
          <w:lang w:val="en-AU"/>
        </w:rPr>
        <w:t>Fertility</w:t>
      </w:r>
    </w:p>
    <w:p w14:paraId="3232AC8D" w14:textId="77777777" w:rsidR="00F37FBC" w:rsidRDefault="007E5D11" w:rsidP="00F37FBC">
      <w:pPr>
        <w:pStyle w:val="Text"/>
        <w:rPr>
          <w:color w:val="auto"/>
          <w:lang w:val="en-AU"/>
        </w:rPr>
      </w:pPr>
      <w:r w:rsidRPr="007E5D11">
        <w:rPr>
          <w:color w:val="auto"/>
          <w:lang w:val="en-AU"/>
        </w:rPr>
        <w:t>Clinical experience with immunoglobulins suggests that no harmful effects on fertility are to be expected.</w:t>
      </w:r>
    </w:p>
    <w:p w14:paraId="5D126D52" w14:textId="77777777" w:rsidR="00FA0E2B" w:rsidRPr="00F37FBC" w:rsidRDefault="00FA0E2B" w:rsidP="00F37FBC">
      <w:pPr>
        <w:pStyle w:val="Text"/>
        <w:rPr>
          <w:color w:val="auto"/>
          <w:lang w:val="en-AU"/>
        </w:rPr>
      </w:pPr>
    </w:p>
    <w:p w14:paraId="26F8C34C" w14:textId="77777777" w:rsidR="007B729F" w:rsidRPr="00CF241C" w:rsidRDefault="007B729F">
      <w:pPr>
        <w:pStyle w:val="Formatvorlageberschrift2AutomatischBlock"/>
        <w:rPr>
          <w:lang w:val="en-US"/>
        </w:rPr>
      </w:pPr>
      <w:r w:rsidRPr="00CF241C">
        <w:rPr>
          <w:lang w:val="en-US"/>
        </w:rPr>
        <w:t>Effects on ability to drive and use machines</w:t>
      </w:r>
    </w:p>
    <w:p w14:paraId="306912A7" w14:textId="2A15E793" w:rsidR="00FA0E2B" w:rsidRPr="007E5D11" w:rsidRDefault="00A41A78" w:rsidP="007E5D11">
      <w:pPr>
        <w:autoSpaceDE w:val="0"/>
        <w:autoSpaceDN w:val="0"/>
        <w:adjustRightInd w:val="0"/>
        <w:rPr>
          <w:color w:val="auto"/>
          <w:szCs w:val="24"/>
          <w:lang w:val="en-AU" w:eastAsia="de-AT"/>
        </w:rPr>
      </w:pPr>
      <w:proofErr w:type="spellStart"/>
      <w:r>
        <w:rPr>
          <w:color w:val="auto"/>
        </w:rPr>
        <w:t>O</w:t>
      </w:r>
      <w:r w:rsidR="004459A1">
        <w:rPr>
          <w:color w:val="auto"/>
        </w:rPr>
        <w:t>ctagam</w:t>
      </w:r>
      <w:proofErr w:type="spellEnd"/>
      <w:r>
        <w:rPr>
          <w:color w:val="auto"/>
        </w:rPr>
        <w:t xml:space="preserve"> 10% </w:t>
      </w:r>
      <w:r w:rsidRPr="001C78DA">
        <w:rPr>
          <w:color w:val="auto"/>
        </w:rPr>
        <w:t>has no or negligible influence on the ability to drive and use machines</w:t>
      </w:r>
      <w:r w:rsidR="0059091C">
        <w:rPr>
          <w:color w:val="auto"/>
        </w:rPr>
        <w:t>.</w:t>
      </w:r>
      <w:r w:rsidRPr="007E5D11" w:rsidDel="00436FF1">
        <w:rPr>
          <w:color w:val="auto"/>
          <w:szCs w:val="24"/>
          <w:lang w:val="en-AU" w:eastAsia="de-AT"/>
        </w:rPr>
        <w:t xml:space="preserve"> </w:t>
      </w:r>
      <w:r w:rsidR="002962C2" w:rsidRPr="002962C2">
        <w:rPr>
          <w:color w:val="auto"/>
          <w:szCs w:val="24"/>
          <w:lang w:val="en-AU" w:eastAsia="de-AT"/>
        </w:rPr>
        <w:t>However, patients who experience adverse reactions during treatment should wait for these to resolve before driving or operating machines</w:t>
      </w:r>
      <w:r w:rsidR="002962C2">
        <w:rPr>
          <w:color w:val="auto"/>
          <w:szCs w:val="24"/>
          <w:lang w:val="en-AU" w:eastAsia="de-AT"/>
        </w:rPr>
        <w:t>.</w:t>
      </w:r>
      <w:r w:rsidR="002962C2" w:rsidRPr="002962C2">
        <w:rPr>
          <w:color w:val="auto"/>
          <w:szCs w:val="24"/>
          <w:lang w:val="en-AU" w:eastAsia="de-AT"/>
        </w:rPr>
        <w:t xml:space="preserve"> </w:t>
      </w:r>
    </w:p>
    <w:p w14:paraId="49FD548D" w14:textId="77777777" w:rsidR="007B729F" w:rsidRDefault="007B729F">
      <w:pPr>
        <w:pStyle w:val="Formatvorlageberschrift2AutomatischBlock"/>
      </w:pPr>
      <w:proofErr w:type="spellStart"/>
      <w:r>
        <w:t>Undesirable</w:t>
      </w:r>
      <w:proofErr w:type="spellEnd"/>
      <w:r>
        <w:t xml:space="preserve"> </w:t>
      </w:r>
      <w:proofErr w:type="spellStart"/>
      <w:r>
        <w:t>effects</w:t>
      </w:r>
      <w:proofErr w:type="spellEnd"/>
    </w:p>
    <w:p w14:paraId="16A194CB" w14:textId="77777777" w:rsidR="00F37FBC" w:rsidRPr="00C742DA" w:rsidRDefault="007E5D11">
      <w:pPr>
        <w:pStyle w:val="Text"/>
        <w:rPr>
          <w:color w:val="auto"/>
          <w:u w:val="single"/>
          <w:lang w:val="en-AU"/>
        </w:rPr>
      </w:pPr>
      <w:r w:rsidRPr="007E5D11">
        <w:rPr>
          <w:color w:val="auto"/>
          <w:u w:val="single"/>
          <w:lang w:val="en-AU"/>
        </w:rPr>
        <w:t>Summary of the safety profile</w:t>
      </w:r>
    </w:p>
    <w:p w14:paraId="4FD5F4FB" w14:textId="77777777" w:rsidR="001C7400" w:rsidRDefault="00543655" w:rsidP="001C7400">
      <w:pPr>
        <w:pStyle w:val="Text"/>
        <w:rPr>
          <w:color w:val="auto"/>
        </w:rPr>
      </w:pPr>
      <w:r>
        <w:rPr>
          <w:lang w:val="en-AU"/>
        </w:rPr>
        <w:t xml:space="preserve">Adverse reactions </w:t>
      </w:r>
      <w:r w:rsidR="001C7400">
        <w:rPr>
          <w:color w:val="auto"/>
        </w:rPr>
        <w:t>caused by human normal immunoglobulins (in decreasing frequency) encompass (see also Section 4.4):</w:t>
      </w:r>
    </w:p>
    <w:p w14:paraId="5E2414BA" w14:textId="77777777" w:rsidR="00435057" w:rsidRPr="00435057" w:rsidRDefault="00543655" w:rsidP="001C7400">
      <w:pPr>
        <w:pStyle w:val="Text"/>
        <w:numPr>
          <w:ilvl w:val="0"/>
          <w:numId w:val="24"/>
        </w:numPr>
        <w:spacing w:before="0" w:after="0"/>
        <w:rPr>
          <w:color w:val="auto"/>
        </w:rPr>
      </w:pPr>
      <w:r w:rsidRPr="001C7400">
        <w:rPr>
          <w:lang w:val="en-AU"/>
        </w:rPr>
        <w:t xml:space="preserve">chills, headache, dizziness, fever, vomiting, allergic reactions, nausea, arthralgia, low blood pressure and moderate low back pain </w:t>
      </w:r>
    </w:p>
    <w:p w14:paraId="293C11B7" w14:textId="77777777" w:rsidR="001C7400" w:rsidRPr="001C7400" w:rsidRDefault="001C7400" w:rsidP="001C7400">
      <w:pPr>
        <w:pStyle w:val="Text"/>
        <w:numPr>
          <w:ilvl w:val="0"/>
          <w:numId w:val="24"/>
        </w:numPr>
        <w:spacing w:before="0" w:after="0"/>
        <w:rPr>
          <w:color w:val="auto"/>
        </w:rPr>
      </w:pPr>
      <w:r w:rsidRPr="00450577">
        <w:rPr>
          <w:color w:val="auto"/>
        </w:rPr>
        <w:t>reversible haemolytic reactions; especially in those patients with blood groups A, B, and AB and (rarely) haemolytic anaemia requiring transfusion.</w:t>
      </w:r>
    </w:p>
    <w:p w14:paraId="008073C6" w14:textId="77777777" w:rsidR="00C742DA" w:rsidRDefault="001C7400" w:rsidP="00C742DA">
      <w:pPr>
        <w:pStyle w:val="Text"/>
        <w:numPr>
          <w:ilvl w:val="0"/>
          <w:numId w:val="24"/>
        </w:numPr>
        <w:rPr>
          <w:color w:val="auto"/>
          <w:lang w:val="en-AU"/>
        </w:rPr>
      </w:pPr>
      <w:r>
        <w:rPr>
          <w:color w:val="auto"/>
          <w:lang w:val="en-AU"/>
        </w:rPr>
        <w:t>(r</w:t>
      </w:r>
      <w:r w:rsidR="007E5D11" w:rsidRPr="001C7400">
        <w:rPr>
          <w:color w:val="auto"/>
          <w:lang w:val="en-AU"/>
        </w:rPr>
        <w:t>arely</w:t>
      </w:r>
      <w:r>
        <w:rPr>
          <w:color w:val="auto"/>
          <w:lang w:val="en-AU"/>
        </w:rPr>
        <w:t>)</w:t>
      </w:r>
      <w:r w:rsidR="007E5D11" w:rsidRPr="001C7400">
        <w:rPr>
          <w:color w:val="auto"/>
          <w:lang w:val="en-AU"/>
        </w:rPr>
        <w:t xml:space="preserve"> a sudden fall in blood pressure and, in isolated cases,</w:t>
      </w:r>
      <w:r w:rsidR="00C742DA" w:rsidRPr="001C7400">
        <w:rPr>
          <w:color w:val="auto"/>
          <w:lang w:val="en-AU"/>
        </w:rPr>
        <w:t xml:space="preserve"> </w:t>
      </w:r>
      <w:r w:rsidR="007E5D11" w:rsidRPr="001C7400">
        <w:rPr>
          <w:color w:val="auto"/>
          <w:lang w:val="en-AU"/>
        </w:rPr>
        <w:t>anaphylactic shock, even when the patient has shown no hypersensitivity to previous administration.</w:t>
      </w:r>
    </w:p>
    <w:p w14:paraId="5AE621AF" w14:textId="77777777" w:rsidR="00FA0E2B" w:rsidRDefault="001C7400" w:rsidP="00FA0E2B">
      <w:pPr>
        <w:pStyle w:val="ListParagraph"/>
        <w:numPr>
          <w:ilvl w:val="0"/>
          <w:numId w:val="24"/>
        </w:numPr>
        <w:autoSpaceDE w:val="0"/>
        <w:autoSpaceDN w:val="0"/>
        <w:adjustRightInd w:val="0"/>
        <w:rPr>
          <w:color w:val="auto"/>
        </w:rPr>
      </w:pPr>
      <w:r w:rsidRPr="00CF06F2">
        <w:rPr>
          <w:color w:val="auto"/>
        </w:rPr>
        <w:t xml:space="preserve">(rarely) transient cutaneous reactions (including cutaneous lupus erythematosus - frequency unknown) </w:t>
      </w:r>
    </w:p>
    <w:p w14:paraId="49A71D9A" w14:textId="77777777" w:rsidR="00FA0E2B" w:rsidRPr="00FA0E2B" w:rsidRDefault="001C7400" w:rsidP="00FA0E2B">
      <w:pPr>
        <w:pStyle w:val="ListParagraph"/>
        <w:numPr>
          <w:ilvl w:val="0"/>
          <w:numId w:val="24"/>
        </w:numPr>
        <w:autoSpaceDE w:val="0"/>
        <w:autoSpaceDN w:val="0"/>
        <w:adjustRightInd w:val="0"/>
        <w:rPr>
          <w:color w:val="auto"/>
        </w:rPr>
      </w:pPr>
      <w:r w:rsidRPr="00FA0E2B">
        <w:rPr>
          <w:color w:val="auto"/>
        </w:rPr>
        <w:lastRenderedPageBreak/>
        <w:t>(</w:t>
      </w:r>
      <w:proofErr w:type="gramStart"/>
      <w:r w:rsidRPr="00FA0E2B">
        <w:rPr>
          <w:color w:val="auto"/>
        </w:rPr>
        <w:t>very</w:t>
      </w:r>
      <w:proofErr w:type="gramEnd"/>
      <w:r w:rsidRPr="00FA0E2B">
        <w:rPr>
          <w:color w:val="auto"/>
        </w:rPr>
        <w:t xml:space="preserve"> rarely) thromboembolic reactions such as myocardial infarction, stroke, pulmonary embolism, deep vein thromboses</w:t>
      </w:r>
    </w:p>
    <w:p w14:paraId="2B2778E2" w14:textId="77777777" w:rsidR="00462135" w:rsidRDefault="001C7400" w:rsidP="00C742DA">
      <w:pPr>
        <w:pStyle w:val="Text"/>
        <w:numPr>
          <w:ilvl w:val="0"/>
          <w:numId w:val="24"/>
        </w:numPr>
        <w:rPr>
          <w:color w:val="auto"/>
          <w:lang w:val="en-AU"/>
        </w:rPr>
      </w:pPr>
      <w:r w:rsidRPr="001C7400">
        <w:rPr>
          <w:color w:val="auto"/>
          <w:lang w:val="en-AU"/>
        </w:rPr>
        <w:t>c</w:t>
      </w:r>
      <w:r w:rsidR="007E5D11" w:rsidRPr="001C7400">
        <w:rPr>
          <w:color w:val="auto"/>
          <w:lang w:val="en-AU"/>
        </w:rPr>
        <w:t xml:space="preserve">ases of reversible aseptic meningitis </w:t>
      </w:r>
    </w:p>
    <w:p w14:paraId="24554B12" w14:textId="77777777" w:rsidR="00C742DA" w:rsidRDefault="001C7400" w:rsidP="00C742DA">
      <w:pPr>
        <w:pStyle w:val="Text"/>
        <w:numPr>
          <w:ilvl w:val="0"/>
          <w:numId w:val="24"/>
        </w:numPr>
        <w:rPr>
          <w:color w:val="auto"/>
          <w:lang w:val="en-AU"/>
        </w:rPr>
      </w:pPr>
      <w:r>
        <w:rPr>
          <w:color w:val="auto"/>
          <w:lang w:val="en-AU"/>
        </w:rPr>
        <w:t>cases of i</w:t>
      </w:r>
      <w:r w:rsidR="007E5D11" w:rsidRPr="001C7400">
        <w:rPr>
          <w:color w:val="auto"/>
          <w:lang w:val="en-AU"/>
        </w:rPr>
        <w:t>ncrease</w:t>
      </w:r>
      <w:r>
        <w:rPr>
          <w:color w:val="auto"/>
          <w:lang w:val="en-AU"/>
        </w:rPr>
        <w:t>d</w:t>
      </w:r>
      <w:r w:rsidR="007E5D11" w:rsidRPr="001C7400">
        <w:rPr>
          <w:color w:val="auto"/>
          <w:lang w:val="en-AU"/>
        </w:rPr>
        <w:t xml:space="preserve"> serum creatinine level and/or </w:t>
      </w:r>
      <w:r>
        <w:rPr>
          <w:color w:val="auto"/>
          <w:lang w:val="en-AU"/>
        </w:rPr>
        <w:t xml:space="preserve">occurrence of </w:t>
      </w:r>
      <w:r w:rsidR="007E5D11" w:rsidRPr="001C7400">
        <w:rPr>
          <w:color w:val="auto"/>
          <w:lang w:val="en-AU"/>
        </w:rPr>
        <w:t>acute renal failure</w:t>
      </w:r>
    </w:p>
    <w:p w14:paraId="772DCAA0" w14:textId="77777777" w:rsidR="001C7400" w:rsidRPr="00327647" w:rsidRDefault="001C7400" w:rsidP="001C7400">
      <w:pPr>
        <w:pStyle w:val="Text"/>
        <w:numPr>
          <w:ilvl w:val="0"/>
          <w:numId w:val="24"/>
        </w:numPr>
        <w:rPr>
          <w:color w:val="auto"/>
          <w:lang w:val="en-AU"/>
        </w:rPr>
      </w:pPr>
      <w:r>
        <w:rPr>
          <w:color w:val="auto"/>
          <w:lang w:val="en-AU"/>
        </w:rPr>
        <w:t>cases of Transfusion Related Acute Lung Injury (TRALI)</w:t>
      </w:r>
    </w:p>
    <w:p w14:paraId="32C35B34" w14:textId="77777777" w:rsidR="001C7400" w:rsidRPr="001C7400" w:rsidRDefault="001C7400" w:rsidP="001C7400">
      <w:pPr>
        <w:pStyle w:val="Text"/>
        <w:ind w:left="360"/>
        <w:rPr>
          <w:color w:val="auto"/>
          <w:lang w:val="en-AU"/>
        </w:rPr>
      </w:pPr>
    </w:p>
    <w:p w14:paraId="0B8EB622" w14:textId="77777777" w:rsidR="00C742DA" w:rsidRPr="00C742DA" w:rsidRDefault="007E5D11">
      <w:pPr>
        <w:pStyle w:val="Text"/>
        <w:rPr>
          <w:color w:val="auto"/>
          <w:u w:val="single"/>
          <w:lang w:val="en-AU"/>
        </w:rPr>
      </w:pPr>
      <w:r w:rsidRPr="007E5D11">
        <w:rPr>
          <w:color w:val="auto"/>
          <w:u w:val="single"/>
          <w:lang w:val="en-AU"/>
        </w:rPr>
        <w:t>Tabulated list of adverse reactions</w:t>
      </w:r>
    </w:p>
    <w:p w14:paraId="7CEDDA77" w14:textId="77777777" w:rsidR="000A05FA" w:rsidRPr="000A05FA" w:rsidRDefault="007E5D11" w:rsidP="000A05FA">
      <w:pPr>
        <w:pStyle w:val="Text"/>
        <w:rPr>
          <w:color w:val="auto"/>
          <w:lang w:val="en-AU"/>
        </w:rPr>
      </w:pPr>
      <w:r w:rsidRPr="007E5D11">
        <w:rPr>
          <w:color w:val="auto"/>
          <w:lang w:val="en-AU"/>
        </w:rPr>
        <w:t>The table presented below is according to the MedDRA system organ classification (SOC and Preferred</w:t>
      </w:r>
      <w:r w:rsidR="000A05FA">
        <w:rPr>
          <w:color w:val="auto"/>
          <w:lang w:val="en-AU"/>
        </w:rPr>
        <w:t xml:space="preserve"> </w:t>
      </w:r>
      <w:r w:rsidRPr="007E5D11">
        <w:rPr>
          <w:color w:val="auto"/>
          <w:lang w:val="en-AU"/>
        </w:rPr>
        <w:t>Term Level).</w:t>
      </w:r>
    </w:p>
    <w:p w14:paraId="4BE2F633" w14:textId="77777777" w:rsidR="000A05FA" w:rsidRPr="000A05FA" w:rsidRDefault="007E5D11" w:rsidP="000A05FA">
      <w:pPr>
        <w:pStyle w:val="Text"/>
        <w:rPr>
          <w:color w:val="auto"/>
          <w:lang w:val="en-AU"/>
        </w:rPr>
      </w:pPr>
      <w:r w:rsidRPr="007E5D11">
        <w:rPr>
          <w:color w:val="auto"/>
          <w:lang w:val="en-AU"/>
        </w:rPr>
        <w:t>Frequencies have been evaluated according to the following convention: very common (≥</w:t>
      </w:r>
      <w:r w:rsidR="0017395C">
        <w:rPr>
          <w:color w:val="auto"/>
          <w:lang w:val="en-AU"/>
        </w:rPr>
        <w:t xml:space="preserve"> </w:t>
      </w:r>
      <w:r w:rsidRPr="007E5D11">
        <w:rPr>
          <w:color w:val="auto"/>
          <w:lang w:val="en-AU"/>
        </w:rPr>
        <w:t>1/10); common</w:t>
      </w:r>
      <w:r w:rsidR="000A05FA">
        <w:rPr>
          <w:color w:val="auto"/>
          <w:lang w:val="en-AU"/>
        </w:rPr>
        <w:t xml:space="preserve"> </w:t>
      </w:r>
      <w:r w:rsidRPr="007E5D11">
        <w:rPr>
          <w:color w:val="auto"/>
          <w:lang w:val="en-AU"/>
        </w:rPr>
        <w:t>(≥</w:t>
      </w:r>
      <w:r w:rsidR="0017395C">
        <w:rPr>
          <w:color w:val="auto"/>
          <w:lang w:val="en-AU"/>
        </w:rPr>
        <w:t xml:space="preserve"> </w:t>
      </w:r>
      <w:r w:rsidRPr="007E5D11">
        <w:rPr>
          <w:color w:val="auto"/>
          <w:lang w:val="en-AU"/>
        </w:rPr>
        <w:t>1/100 to &lt;</w:t>
      </w:r>
      <w:r w:rsidR="0017395C">
        <w:rPr>
          <w:color w:val="auto"/>
          <w:lang w:val="en-AU"/>
        </w:rPr>
        <w:t xml:space="preserve"> </w:t>
      </w:r>
      <w:r w:rsidRPr="007E5D11">
        <w:rPr>
          <w:color w:val="auto"/>
          <w:lang w:val="en-AU"/>
        </w:rPr>
        <w:t>1/10); uncommon (≥</w:t>
      </w:r>
      <w:r w:rsidR="0017395C">
        <w:rPr>
          <w:color w:val="auto"/>
          <w:lang w:val="en-AU"/>
        </w:rPr>
        <w:t xml:space="preserve"> </w:t>
      </w:r>
      <w:r w:rsidRPr="007E5D11">
        <w:rPr>
          <w:color w:val="auto"/>
          <w:lang w:val="en-AU"/>
        </w:rPr>
        <w:t>1/1,000 to &lt;</w:t>
      </w:r>
      <w:r w:rsidR="0017395C">
        <w:rPr>
          <w:color w:val="auto"/>
          <w:lang w:val="en-AU"/>
        </w:rPr>
        <w:t xml:space="preserve"> </w:t>
      </w:r>
      <w:r w:rsidRPr="007E5D11">
        <w:rPr>
          <w:color w:val="auto"/>
          <w:lang w:val="en-AU"/>
        </w:rPr>
        <w:t>1/100); rare (≥</w:t>
      </w:r>
      <w:r w:rsidR="0017395C">
        <w:rPr>
          <w:color w:val="auto"/>
          <w:lang w:val="en-AU"/>
        </w:rPr>
        <w:t xml:space="preserve"> </w:t>
      </w:r>
      <w:r w:rsidRPr="007E5D11">
        <w:rPr>
          <w:color w:val="auto"/>
          <w:lang w:val="en-AU"/>
        </w:rPr>
        <w:t>1/10,000 to &lt;</w:t>
      </w:r>
      <w:r w:rsidR="0017395C">
        <w:rPr>
          <w:color w:val="auto"/>
          <w:lang w:val="en-AU"/>
        </w:rPr>
        <w:t xml:space="preserve"> </w:t>
      </w:r>
      <w:r w:rsidRPr="007E5D11">
        <w:rPr>
          <w:color w:val="auto"/>
          <w:lang w:val="en-AU"/>
        </w:rPr>
        <w:t>1/1,000); very rare (&lt;</w:t>
      </w:r>
      <w:r w:rsidR="0017395C">
        <w:rPr>
          <w:color w:val="auto"/>
          <w:lang w:val="en-AU"/>
        </w:rPr>
        <w:t xml:space="preserve"> </w:t>
      </w:r>
      <w:r w:rsidRPr="007E5D11">
        <w:rPr>
          <w:color w:val="auto"/>
          <w:lang w:val="en-AU"/>
        </w:rPr>
        <w:t>1/10,000),</w:t>
      </w:r>
      <w:r w:rsidR="000A05FA">
        <w:rPr>
          <w:color w:val="auto"/>
          <w:lang w:val="en-AU"/>
        </w:rPr>
        <w:t xml:space="preserve"> </w:t>
      </w:r>
      <w:r w:rsidRPr="007E5D11">
        <w:rPr>
          <w:color w:val="auto"/>
          <w:lang w:val="en-AU"/>
        </w:rPr>
        <w:t>not known (cannot be estimated from the available data).</w:t>
      </w:r>
    </w:p>
    <w:p w14:paraId="5D0BDCD1" w14:textId="77777777" w:rsidR="0079341E" w:rsidRPr="0079341E" w:rsidRDefault="0079341E" w:rsidP="0079341E">
      <w:pPr>
        <w:pStyle w:val="Text"/>
        <w:rPr>
          <w:color w:val="auto"/>
        </w:rPr>
      </w:pPr>
      <w:r w:rsidRPr="0079341E">
        <w:rPr>
          <w:color w:val="auto"/>
        </w:rPr>
        <w:t xml:space="preserve">Within each </w:t>
      </w:r>
      <w:bookmarkStart w:id="11" w:name="_Hlk150949079"/>
      <w:r w:rsidR="00B7007C">
        <w:rPr>
          <w:color w:val="auto"/>
        </w:rPr>
        <w:t>Organ Class</w:t>
      </w:r>
      <w:bookmarkEnd w:id="11"/>
      <w:r w:rsidRPr="0079341E">
        <w:rPr>
          <w:color w:val="auto"/>
        </w:rPr>
        <w:t xml:space="preserve">, </w:t>
      </w:r>
      <w:r w:rsidR="00B7007C">
        <w:rPr>
          <w:color w:val="auto"/>
        </w:rPr>
        <w:t>adverse reactions</w:t>
      </w:r>
      <w:r w:rsidRPr="0079341E">
        <w:rPr>
          <w:color w:val="auto"/>
        </w:rPr>
        <w:t xml:space="preserve"> are presented in order of decreasing seriousness.</w:t>
      </w:r>
    </w:p>
    <w:p w14:paraId="2B23130C" w14:textId="6DD0BF9D" w:rsidR="003447D6" w:rsidRDefault="000B718F">
      <w:pPr>
        <w:pStyle w:val="Text"/>
        <w:rPr>
          <w:color w:val="auto"/>
        </w:rPr>
      </w:pPr>
      <w:r w:rsidRPr="000B718F">
        <w:rPr>
          <w:color w:val="auto"/>
        </w:rPr>
        <w:t xml:space="preserve">Frequency of adverse drug reactions in clinical studies with </w:t>
      </w:r>
      <w:proofErr w:type="spellStart"/>
      <w:r>
        <w:rPr>
          <w:color w:val="auto"/>
        </w:rPr>
        <w:t>Octagam</w:t>
      </w:r>
      <w:proofErr w:type="spellEnd"/>
      <w:r w:rsidR="00646A6D">
        <w:rPr>
          <w:color w:val="auto"/>
        </w:rPr>
        <w:t xml:space="preserve"> </w:t>
      </w:r>
      <w:r w:rsidR="004F250D">
        <w:rPr>
          <w:color w:val="auto"/>
        </w:rPr>
        <w:t>10%</w:t>
      </w:r>
      <w:r w:rsidRPr="000B718F">
        <w:rPr>
          <w:color w:val="auto"/>
        </w:rPr>
        <w:t>:</w:t>
      </w:r>
    </w:p>
    <w:tbl>
      <w:tblPr>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14"/>
        <w:gridCol w:w="2169"/>
        <w:gridCol w:w="1757"/>
        <w:gridCol w:w="1757"/>
      </w:tblGrid>
      <w:tr w:rsidR="00F8054C" w:rsidRPr="004564F2" w14:paraId="08E74223" w14:textId="77777777" w:rsidTr="00F8054C">
        <w:tc>
          <w:tcPr>
            <w:tcW w:w="3614" w:type="dxa"/>
            <w:tcBorders>
              <w:top w:val="single" w:sz="4" w:space="0" w:color="auto"/>
              <w:left w:val="single" w:sz="4" w:space="0" w:color="auto"/>
              <w:bottom w:val="single" w:sz="4" w:space="0" w:color="auto"/>
              <w:right w:val="single" w:sz="4" w:space="0" w:color="auto"/>
            </w:tcBorders>
            <w:shd w:val="clear" w:color="auto" w:fill="auto"/>
          </w:tcPr>
          <w:p w14:paraId="7B9E7405" w14:textId="77777777" w:rsidR="00F8054C" w:rsidRPr="00C467F3" w:rsidRDefault="00F8054C" w:rsidP="00F8054C">
            <w:pPr>
              <w:pStyle w:val="Text"/>
              <w:spacing w:before="0" w:after="0" w:line="276" w:lineRule="auto"/>
              <w:rPr>
                <w:b/>
                <w:bCs/>
                <w:noProof/>
                <w:sz w:val="18"/>
                <w:szCs w:val="18"/>
              </w:rPr>
            </w:pPr>
            <w:r w:rsidRPr="00C467F3">
              <w:rPr>
                <w:b/>
                <w:bCs/>
                <w:noProof/>
                <w:sz w:val="18"/>
                <w:szCs w:val="18"/>
              </w:rPr>
              <w:t>MedDRA System Organ Classification (SOC) according to the sequence:</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8D5DAA8" w14:textId="77777777" w:rsidR="00F8054C" w:rsidRPr="00C467F3" w:rsidRDefault="00F8054C" w:rsidP="00F8054C">
            <w:pPr>
              <w:pStyle w:val="Text"/>
              <w:spacing w:before="0" w:after="0" w:line="276" w:lineRule="auto"/>
              <w:jc w:val="left"/>
              <w:rPr>
                <w:b/>
                <w:bCs/>
                <w:sz w:val="18"/>
                <w:szCs w:val="18"/>
                <w:lang w:val="en-US"/>
              </w:rPr>
            </w:pPr>
            <w:r w:rsidRPr="00C467F3">
              <w:rPr>
                <w:b/>
                <w:bCs/>
                <w:sz w:val="18"/>
                <w:szCs w:val="18"/>
                <w:lang w:val="en-US"/>
              </w:rPr>
              <w:t xml:space="preserve">Adverse Reaction </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F3215CF" w14:textId="77777777" w:rsidR="00F8054C" w:rsidRPr="00C467F3" w:rsidRDefault="00F8054C" w:rsidP="00F8054C">
            <w:pPr>
              <w:pStyle w:val="Text"/>
              <w:spacing w:before="0" w:after="0" w:line="276" w:lineRule="auto"/>
              <w:jc w:val="center"/>
              <w:rPr>
                <w:b/>
                <w:bCs/>
                <w:color w:val="auto"/>
                <w:sz w:val="18"/>
                <w:szCs w:val="18"/>
                <w:lang w:val="en-US"/>
              </w:rPr>
            </w:pPr>
            <w:r w:rsidRPr="00C467F3">
              <w:rPr>
                <w:b/>
                <w:bCs/>
                <w:color w:val="auto"/>
                <w:sz w:val="18"/>
                <w:szCs w:val="18"/>
                <w:lang w:val="en-US"/>
              </w:rPr>
              <w:t>Frequency per patient</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F7B5136" w14:textId="77777777" w:rsidR="00F8054C" w:rsidRPr="00C467F3" w:rsidRDefault="00F8054C" w:rsidP="00F8054C">
            <w:pPr>
              <w:pStyle w:val="Text"/>
              <w:spacing w:before="0" w:after="0" w:line="276" w:lineRule="auto"/>
              <w:jc w:val="center"/>
              <w:rPr>
                <w:b/>
                <w:bCs/>
                <w:color w:val="auto"/>
                <w:sz w:val="18"/>
                <w:szCs w:val="18"/>
              </w:rPr>
            </w:pPr>
            <w:r w:rsidRPr="00C467F3">
              <w:rPr>
                <w:b/>
                <w:bCs/>
                <w:color w:val="auto"/>
                <w:sz w:val="18"/>
                <w:szCs w:val="18"/>
              </w:rPr>
              <w:t>Frequency per infusion</w:t>
            </w:r>
          </w:p>
        </w:tc>
      </w:tr>
      <w:tr w:rsidR="00F8054C" w:rsidRPr="004564F2" w14:paraId="1D6BB313" w14:textId="77777777" w:rsidTr="00F8054C">
        <w:tc>
          <w:tcPr>
            <w:tcW w:w="3614" w:type="dxa"/>
            <w:tcBorders>
              <w:top w:val="single" w:sz="4" w:space="0" w:color="auto"/>
              <w:left w:val="single" w:sz="4" w:space="0" w:color="auto"/>
              <w:bottom w:val="single" w:sz="4" w:space="0" w:color="auto"/>
              <w:right w:val="single" w:sz="4" w:space="0" w:color="auto"/>
            </w:tcBorders>
            <w:shd w:val="clear" w:color="auto" w:fill="auto"/>
          </w:tcPr>
          <w:p w14:paraId="2AE0F110" w14:textId="77777777" w:rsidR="00F8054C" w:rsidRPr="00F8054C" w:rsidRDefault="00F8054C" w:rsidP="00F8054C">
            <w:pPr>
              <w:pStyle w:val="Text"/>
              <w:spacing w:before="0" w:after="0" w:line="276" w:lineRule="auto"/>
              <w:rPr>
                <w:noProof/>
                <w:sz w:val="18"/>
                <w:szCs w:val="18"/>
              </w:rPr>
            </w:pPr>
            <w:r w:rsidRPr="00F8054C">
              <w:rPr>
                <w:noProof/>
                <w:sz w:val="18"/>
                <w:szCs w:val="18"/>
              </w:rPr>
              <w:t>Blood and lymphatic system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28CBD12" w14:textId="77777777" w:rsidR="00F8054C" w:rsidRPr="00F8054C" w:rsidRDefault="004A300F" w:rsidP="00F8054C">
            <w:pPr>
              <w:pStyle w:val="Text"/>
              <w:spacing w:before="0" w:after="0" w:line="276" w:lineRule="auto"/>
              <w:jc w:val="left"/>
              <w:rPr>
                <w:sz w:val="18"/>
                <w:szCs w:val="18"/>
                <w:lang w:val="en-US"/>
              </w:rPr>
            </w:pPr>
            <w:proofErr w:type="spellStart"/>
            <w:r>
              <w:rPr>
                <w:sz w:val="18"/>
                <w:szCs w:val="18"/>
                <w:lang w:val="en-US"/>
              </w:rPr>
              <w:t>a</w:t>
            </w:r>
            <w:r w:rsidR="00F8054C" w:rsidRPr="00F8054C">
              <w:rPr>
                <w:sz w:val="18"/>
                <w:szCs w:val="18"/>
                <w:lang w:val="en-US"/>
              </w:rPr>
              <w:t>naemia</w:t>
            </w:r>
            <w:proofErr w:type="spellEnd"/>
            <w:r w:rsidR="00F8054C" w:rsidRPr="00F8054C">
              <w:rPr>
                <w:sz w:val="18"/>
                <w:szCs w:val="18"/>
                <w:lang w:val="en-US"/>
              </w:rPr>
              <w:t>, leukopenia, lymphopenia</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C3E0F3D" w14:textId="77777777" w:rsidR="00F8054C" w:rsidRPr="00F8054C" w:rsidRDefault="00F8054C" w:rsidP="00F8054C">
            <w:pPr>
              <w:pStyle w:val="Text"/>
              <w:spacing w:before="0" w:after="0" w:line="276" w:lineRule="auto"/>
              <w:jc w:val="center"/>
              <w:rPr>
                <w:color w:val="auto"/>
                <w:sz w:val="18"/>
                <w:szCs w:val="18"/>
                <w:lang w:val="en-US"/>
              </w:rPr>
            </w:pPr>
            <w:r w:rsidRPr="00F8054C">
              <w:rPr>
                <w:color w:val="auto"/>
                <w:sz w:val="18"/>
                <w:szCs w:val="18"/>
                <w:lang w:val="en-US"/>
              </w:rPr>
              <w:t>uncommon</w:t>
            </w:r>
          </w:p>
          <w:p w14:paraId="33DB7DBD" w14:textId="77777777" w:rsidR="00F8054C" w:rsidRPr="00F8054C" w:rsidRDefault="00F8054C" w:rsidP="00F8054C">
            <w:pPr>
              <w:pStyle w:val="Text"/>
              <w:spacing w:before="0" w:after="0" w:line="276" w:lineRule="auto"/>
              <w:jc w:val="center"/>
              <w:rPr>
                <w:color w:val="auto"/>
                <w:sz w:val="18"/>
                <w:szCs w:val="18"/>
                <w:lang w:val="en-US"/>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67388B1" w14:textId="77777777" w:rsidR="00F8054C" w:rsidRPr="00F8054C" w:rsidRDefault="00F8054C" w:rsidP="00F8054C">
            <w:pPr>
              <w:pStyle w:val="Text"/>
              <w:spacing w:before="0" w:after="0" w:line="276" w:lineRule="auto"/>
              <w:jc w:val="center"/>
              <w:rPr>
                <w:color w:val="auto"/>
                <w:sz w:val="18"/>
                <w:szCs w:val="18"/>
              </w:rPr>
            </w:pPr>
            <w:r w:rsidRPr="00F8054C">
              <w:rPr>
                <w:color w:val="auto"/>
                <w:sz w:val="18"/>
                <w:szCs w:val="18"/>
              </w:rPr>
              <w:t>uncommon</w:t>
            </w:r>
          </w:p>
          <w:p w14:paraId="194F974A" w14:textId="77777777" w:rsidR="00F8054C" w:rsidRPr="00F8054C" w:rsidRDefault="00F8054C" w:rsidP="00F8054C">
            <w:pPr>
              <w:pStyle w:val="Text"/>
              <w:spacing w:before="0" w:after="0" w:line="276" w:lineRule="auto"/>
              <w:jc w:val="center"/>
              <w:rPr>
                <w:color w:val="auto"/>
                <w:sz w:val="18"/>
                <w:szCs w:val="18"/>
              </w:rPr>
            </w:pPr>
          </w:p>
        </w:tc>
      </w:tr>
      <w:tr w:rsidR="00F8054C" w:rsidRPr="004564F2" w14:paraId="29156F35" w14:textId="77777777" w:rsidTr="00F8054C">
        <w:tc>
          <w:tcPr>
            <w:tcW w:w="3614" w:type="dxa"/>
            <w:tcBorders>
              <w:top w:val="single" w:sz="4" w:space="0" w:color="auto"/>
              <w:left w:val="single" w:sz="4" w:space="0" w:color="auto"/>
              <w:bottom w:val="single" w:sz="4" w:space="0" w:color="auto"/>
              <w:right w:val="single" w:sz="4" w:space="0" w:color="auto"/>
            </w:tcBorders>
            <w:shd w:val="clear" w:color="auto" w:fill="auto"/>
          </w:tcPr>
          <w:p w14:paraId="47C1946D" w14:textId="77777777" w:rsidR="00F8054C" w:rsidRPr="00F8054C" w:rsidRDefault="00F8054C" w:rsidP="00482DEA">
            <w:pPr>
              <w:pStyle w:val="Text"/>
              <w:spacing w:before="0" w:after="0" w:line="276" w:lineRule="auto"/>
              <w:rPr>
                <w:noProof/>
                <w:sz w:val="18"/>
                <w:szCs w:val="18"/>
              </w:rPr>
            </w:pPr>
            <w:r w:rsidRPr="004564F2">
              <w:rPr>
                <w:noProof/>
                <w:sz w:val="18"/>
                <w:szCs w:val="18"/>
              </w:rPr>
              <w:t>Immune system disorders (see section 4.4)</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8680019" w14:textId="77777777" w:rsidR="00F8054C" w:rsidRPr="00F8054C" w:rsidRDefault="00F8054C" w:rsidP="00482DEA">
            <w:pPr>
              <w:pStyle w:val="Text"/>
              <w:spacing w:before="0" w:after="0" w:line="276" w:lineRule="auto"/>
              <w:jc w:val="left"/>
              <w:rPr>
                <w:sz w:val="18"/>
                <w:szCs w:val="18"/>
                <w:lang w:val="en-US"/>
              </w:rPr>
            </w:pPr>
            <w:r w:rsidRPr="00F8054C">
              <w:rPr>
                <w:sz w:val="18"/>
                <w:szCs w:val="18"/>
                <w:lang w:val="en-US"/>
              </w:rPr>
              <w:t>hypersensitivity</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8D8AB80" w14:textId="77777777" w:rsidR="00F8054C" w:rsidRPr="00F8054C" w:rsidRDefault="00F8054C" w:rsidP="00482DEA">
            <w:pPr>
              <w:pStyle w:val="Text"/>
              <w:spacing w:before="0" w:after="0" w:line="276" w:lineRule="auto"/>
              <w:jc w:val="center"/>
              <w:rPr>
                <w:color w:val="auto"/>
                <w:sz w:val="18"/>
                <w:szCs w:val="18"/>
                <w:lang w:val="en-US"/>
              </w:rPr>
            </w:pPr>
            <w:r w:rsidRPr="00F8054C">
              <w:rPr>
                <w:color w:val="auto"/>
                <w:sz w:val="18"/>
                <w:szCs w:val="18"/>
                <w:lang w:val="en-US"/>
              </w:rPr>
              <w:t>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B384756"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common</w:t>
            </w:r>
          </w:p>
        </w:tc>
      </w:tr>
      <w:tr w:rsidR="00F8054C" w:rsidRPr="004564F2" w14:paraId="24E19782" w14:textId="77777777" w:rsidTr="00F8054C">
        <w:tc>
          <w:tcPr>
            <w:tcW w:w="3614" w:type="dxa"/>
            <w:tcBorders>
              <w:top w:val="single" w:sz="4" w:space="0" w:color="auto"/>
              <w:left w:val="single" w:sz="4" w:space="0" w:color="auto"/>
              <w:bottom w:val="single" w:sz="4" w:space="0" w:color="auto"/>
              <w:right w:val="single" w:sz="4" w:space="0" w:color="auto"/>
            </w:tcBorders>
            <w:shd w:val="clear" w:color="auto" w:fill="auto"/>
          </w:tcPr>
          <w:p w14:paraId="36580A3D" w14:textId="77777777" w:rsidR="00F8054C" w:rsidRPr="004564F2" w:rsidRDefault="00F8054C" w:rsidP="00482DEA">
            <w:pPr>
              <w:pStyle w:val="Text"/>
              <w:spacing w:before="0" w:after="0" w:line="276" w:lineRule="auto"/>
              <w:rPr>
                <w:noProof/>
                <w:sz w:val="18"/>
                <w:szCs w:val="18"/>
              </w:rPr>
            </w:pPr>
            <w:r>
              <w:rPr>
                <w:noProof/>
                <w:sz w:val="18"/>
                <w:szCs w:val="18"/>
              </w:rPr>
              <w:t>Eye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A8D92A9" w14:textId="77777777" w:rsidR="00F8054C" w:rsidRPr="00F8054C" w:rsidRDefault="00F8054C" w:rsidP="00482DEA">
            <w:pPr>
              <w:pStyle w:val="Text"/>
              <w:spacing w:before="0" w:after="0" w:line="276" w:lineRule="auto"/>
              <w:jc w:val="left"/>
              <w:rPr>
                <w:sz w:val="18"/>
                <w:szCs w:val="18"/>
                <w:lang w:val="en-US"/>
              </w:rPr>
            </w:pPr>
            <w:r w:rsidRPr="00F8054C">
              <w:rPr>
                <w:sz w:val="18"/>
                <w:szCs w:val="18"/>
                <w:lang w:val="en-US"/>
              </w:rPr>
              <w:t>vision blurred</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44048B1" w14:textId="77777777" w:rsidR="00F8054C" w:rsidRPr="00F8054C" w:rsidRDefault="00F8054C" w:rsidP="00482DEA">
            <w:pPr>
              <w:pStyle w:val="Text"/>
              <w:spacing w:before="0" w:after="0" w:line="276" w:lineRule="auto"/>
              <w:jc w:val="center"/>
              <w:rPr>
                <w:color w:val="auto"/>
                <w:sz w:val="18"/>
                <w:szCs w:val="18"/>
                <w:lang w:val="en-US"/>
              </w:rPr>
            </w:pPr>
            <w:r w:rsidRPr="00F8054C">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1318C56"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tc>
      </w:tr>
      <w:tr w:rsidR="00F8054C" w:rsidRPr="004564F2" w14:paraId="1F877C49"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7D7E2F03" w14:textId="77777777" w:rsidR="00F8054C" w:rsidRPr="00F8054C" w:rsidRDefault="00F8054C" w:rsidP="00482DEA">
            <w:pPr>
              <w:pStyle w:val="Text"/>
              <w:spacing w:before="0" w:after="0" w:line="276" w:lineRule="auto"/>
              <w:rPr>
                <w:noProof/>
                <w:sz w:val="18"/>
                <w:szCs w:val="18"/>
              </w:rPr>
            </w:pPr>
            <w:r w:rsidRPr="00F8054C">
              <w:rPr>
                <w:noProof/>
                <w:sz w:val="18"/>
                <w:szCs w:val="18"/>
              </w:rPr>
              <w:t>Nervous system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CDE8FA8" w14:textId="77777777" w:rsidR="00F8054C" w:rsidRPr="00AC488D" w:rsidRDefault="00F8054C" w:rsidP="00482DEA">
            <w:pPr>
              <w:pStyle w:val="Text"/>
              <w:spacing w:before="0" w:after="0" w:line="276" w:lineRule="auto"/>
              <w:jc w:val="left"/>
              <w:rPr>
                <w:sz w:val="18"/>
                <w:szCs w:val="18"/>
                <w:lang w:val="en-US"/>
              </w:rPr>
            </w:pPr>
            <w:r>
              <w:rPr>
                <w:sz w:val="18"/>
                <w:szCs w:val="18"/>
                <w:lang w:val="en-US"/>
              </w:rPr>
              <w:t>h</w:t>
            </w:r>
            <w:r w:rsidRPr="00B066F9">
              <w:rPr>
                <w:sz w:val="18"/>
                <w:szCs w:val="18"/>
                <w:lang w:val="en-US"/>
              </w:rPr>
              <w:t>eadache</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13A0CC1"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very 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B08112C" w14:textId="77777777" w:rsidR="00F8054C" w:rsidRPr="00B066F9" w:rsidRDefault="00F8054C" w:rsidP="00482DEA">
            <w:pPr>
              <w:pStyle w:val="Text"/>
              <w:spacing w:before="0" w:after="0" w:line="276" w:lineRule="auto"/>
              <w:jc w:val="center"/>
              <w:rPr>
                <w:color w:val="auto"/>
                <w:sz w:val="18"/>
                <w:szCs w:val="18"/>
              </w:rPr>
            </w:pPr>
            <w:r>
              <w:rPr>
                <w:color w:val="auto"/>
                <w:sz w:val="18"/>
                <w:szCs w:val="18"/>
              </w:rPr>
              <w:t>c</w:t>
            </w:r>
            <w:r w:rsidRPr="00B066F9">
              <w:rPr>
                <w:color w:val="auto"/>
                <w:sz w:val="18"/>
                <w:szCs w:val="18"/>
              </w:rPr>
              <w:t>ommon</w:t>
            </w:r>
          </w:p>
        </w:tc>
      </w:tr>
      <w:tr w:rsidR="00F8054C" w:rsidRPr="004564F2" w14:paraId="4CD0767A" w14:textId="77777777" w:rsidTr="00F8054C">
        <w:tc>
          <w:tcPr>
            <w:tcW w:w="3614" w:type="dxa"/>
            <w:tcBorders>
              <w:top w:val="nil"/>
              <w:left w:val="single" w:sz="4" w:space="0" w:color="auto"/>
              <w:bottom w:val="nil"/>
              <w:right w:val="single" w:sz="4" w:space="0" w:color="auto"/>
            </w:tcBorders>
            <w:shd w:val="clear" w:color="auto" w:fill="auto"/>
          </w:tcPr>
          <w:p w14:paraId="2BB7B1F2" w14:textId="77777777" w:rsidR="00F8054C" w:rsidRPr="00F8054C"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13257F2" w14:textId="77777777" w:rsidR="00F8054C" w:rsidRDefault="00F8054C" w:rsidP="00482DEA">
            <w:pPr>
              <w:pStyle w:val="Text"/>
              <w:spacing w:before="0" w:after="0" w:line="276" w:lineRule="auto"/>
              <w:jc w:val="left"/>
              <w:rPr>
                <w:sz w:val="18"/>
                <w:szCs w:val="18"/>
                <w:lang w:val="en-US"/>
              </w:rPr>
            </w:pPr>
            <w:r>
              <w:rPr>
                <w:sz w:val="18"/>
                <w:szCs w:val="18"/>
                <w:lang w:val="en-US"/>
              </w:rPr>
              <w:t>d</w:t>
            </w:r>
            <w:r w:rsidRPr="00B066F9">
              <w:rPr>
                <w:sz w:val="18"/>
                <w:szCs w:val="18"/>
                <w:lang w:val="en-US"/>
              </w:rPr>
              <w:t>izziness</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364C03F" w14:textId="77777777" w:rsidR="00F8054C" w:rsidRPr="00B066F9" w:rsidRDefault="00F8054C" w:rsidP="00482DEA">
            <w:pPr>
              <w:pStyle w:val="Text"/>
              <w:spacing w:before="0" w:after="0" w:line="276" w:lineRule="auto"/>
              <w:jc w:val="center"/>
              <w:rPr>
                <w:color w:val="auto"/>
                <w:sz w:val="18"/>
                <w:szCs w:val="18"/>
                <w:lang w:val="en-US"/>
              </w:rPr>
            </w:pPr>
            <w:r>
              <w:rPr>
                <w:color w:val="auto"/>
                <w:sz w:val="18"/>
                <w:szCs w:val="18"/>
                <w:lang w:val="en-US"/>
              </w:rPr>
              <w:t>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B3008DB" w14:textId="77777777" w:rsidR="00F8054C" w:rsidRDefault="00F8054C" w:rsidP="00482DEA">
            <w:pPr>
              <w:pStyle w:val="Text"/>
              <w:spacing w:before="0" w:after="0" w:line="276" w:lineRule="auto"/>
              <w:jc w:val="center"/>
              <w:rPr>
                <w:color w:val="auto"/>
                <w:sz w:val="18"/>
                <w:szCs w:val="18"/>
              </w:rPr>
            </w:pPr>
            <w:r>
              <w:rPr>
                <w:color w:val="auto"/>
                <w:sz w:val="18"/>
                <w:szCs w:val="18"/>
              </w:rPr>
              <w:t>uncommon</w:t>
            </w:r>
          </w:p>
        </w:tc>
      </w:tr>
      <w:tr w:rsidR="00F8054C" w:rsidRPr="004564F2" w14:paraId="001CDA71" w14:textId="77777777" w:rsidTr="00F8054C">
        <w:tc>
          <w:tcPr>
            <w:tcW w:w="3614" w:type="dxa"/>
            <w:tcBorders>
              <w:top w:val="nil"/>
              <w:left w:val="single" w:sz="4" w:space="0" w:color="auto"/>
              <w:bottom w:val="nil"/>
              <w:right w:val="single" w:sz="4" w:space="0" w:color="auto"/>
            </w:tcBorders>
            <w:shd w:val="clear" w:color="auto" w:fill="auto"/>
          </w:tcPr>
          <w:p w14:paraId="745DF3A5" w14:textId="77777777" w:rsidR="00F8054C" w:rsidRPr="00F8054C"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358EC2A" w14:textId="77777777" w:rsidR="00F8054C" w:rsidRDefault="00F8054C" w:rsidP="00482DEA">
            <w:pPr>
              <w:pStyle w:val="Text"/>
              <w:spacing w:before="0" w:after="0" w:line="276" w:lineRule="auto"/>
              <w:jc w:val="left"/>
              <w:rPr>
                <w:sz w:val="18"/>
                <w:szCs w:val="18"/>
                <w:lang w:val="en-US"/>
              </w:rPr>
            </w:pPr>
            <w:r>
              <w:rPr>
                <w:sz w:val="18"/>
                <w:szCs w:val="18"/>
                <w:lang w:val="en-US"/>
              </w:rPr>
              <w:t>p</w:t>
            </w:r>
            <w:r w:rsidRPr="00B066F9">
              <w:rPr>
                <w:sz w:val="18"/>
                <w:szCs w:val="18"/>
                <w:lang w:val="en-US"/>
              </w:rPr>
              <w:t>aresthesia</w:t>
            </w:r>
            <w:r>
              <w:rPr>
                <w:sz w:val="18"/>
                <w:szCs w:val="18"/>
                <w:lang w:val="en-US"/>
              </w:rPr>
              <w:t>, t</w:t>
            </w:r>
            <w:r w:rsidRPr="00B066F9">
              <w:rPr>
                <w:sz w:val="18"/>
                <w:szCs w:val="18"/>
                <w:lang w:val="en-US"/>
              </w:rPr>
              <w:t>remor</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568DE67"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328D268" w14:textId="77777777" w:rsidR="00F8054C" w:rsidRDefault="00F8054C" w:rsidP="00482DEA">
            <w:pPr>
              <w:pStyle w:val="Text"/>
              <w:spacing w:before="0" w:after="0" w:line="276" w:lineRule="auto"/>
              <w:jc w:val="center"/>
              <w:rPr>
                <w:color w:val="auto"/>
                <w:sz w:val="18"/>
                <w:szCs w:val="18"/>
              </w:rPr>
            </w:pPr>
            <w:r w:rsidRPr="00B066F9">
              <w:rPr>
                <w:color w:val="auto"/>
                <w:sz w:val="18"/>
                <w:szCs w:val="18"/>
              </w:rPr>
              <w:t>uncommon</w:t>
            </w:r>
          </w:p>
        </w:tc>
      </w:tr>
      <w:tr w:rsidR="00F8054C" w:rsidRPr="004564F2" w14:paraId="33BD4C9A"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6DF4E1DC" w14:textId="77777777" w:rsidR="00F8054C" w:rsidRPr="00F8054C"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689B9B2" w14:textId="77777777" w:rsidR="00F8054C" w:rsidRDefault="00F8054C" w:rsidP="00482DEA">
            <w:pPr>
              <w:pStyle w:val="Text"/>
              <w:spacing w:before="0" w:after="0" w:line="276" w:lineRule="auto"/>
              <w:jc w:val="left"/>
              <w:rPr>
                <w:sz w:val="18"/>
                <w:szCs w:val="18"/>
                <w:lang w:val="en-US"/>
              </w:rPr>
            </w:pPr>
            <w:r w:rsidRPr="00F8054C">
              <w:rPr>
                <w:sz w:val="18"/>
                <w:szCs w:val="18"/>
                <w:lang w:val="en-US"/>
              </w:rPr>
              <w:t>cerebrovascular accident</w:t>
            </w:r>
            <w:r>
              <w:rPr>
                <w:sz w:val="18"/>
                <w:szCs w:val="18"/>
                <w:lang w:val="en-US"/>
              </w:rPr>
              <w:t xml:space="preserve"> (See 4.4)</w:t>
            </w:r>
            <w:r w:rsidRPr="00F8054C">
              <w:rPr>
                <w:sz w:val="18"/>
                <w:szCs w:val="18"/>
                <w:lang w:val="en-US"/>
              </w:rPr>
              <w:t xml:space="preserve">, </w:t>
            </w:r>
            <w:proofErr w:type="spellStart"/>
            <w:r w:rsidRPr="00F8054C">
              <w:rPr>
                <w:sz w:val="18"/>
                <w:szCs w:val="18"/>
                <w:lang w:val="en-US"/>
              </w:rPr>
              <w:t>hypoaesthesia</w:t>
            </w:r>
            <w:proofErr w:type="spellEnd"/>
            <w:r w:rsidRPr="00F8054C">
              <w:rPr>
                <w:sz w:val="18"/>
                <w:szCs w:val="18"/>
                <w:lang w:val="en-US"/>
              </w:rPr>
              <w:t>, cerebral infarction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CA5C4CB" w14:textId="77777777" w:rsidR="00F8054C" w:rsidRPr="00B066F9" w:rsidRDefault="00F8054C" w:rsidP="00482DEA">
            <w:pPr>
              <w:pStyle w:val="Text"/>
              <w:spacing w:before="0" w:after="0" w:line="276" w:lineRule="auto"/>
              <w:jc w:val="center"/>
              <w:rPr>
                <w:color w:val="auto"/>
                <w:sz w:val="18"/>
                <w:szCs w:val="18"/>
                <w:lang w:val="en-US"/>
              </w:rPr>
            </w:pPr>
            <w:r w:rsidRPr="00F8054C">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E7B8581" w14:textId="77777777" w:rsidR="00F8054C" w:rsidRDefault="00F8054C" w:rsidP="00482DEA">
            <w:pPr>
              <w:pStyle w:val="Text"/>
              <w:spacing w:before="0" w:after="0" w:line="276" w:lineRule="auto"/>
              <w:jc w:val="center"/>
              <w:rPr>
                <w:color w:val="auto"/>
                <w:sz w:val="18"/>
                <w:szCs w:val="18"/>
              </w:rPr>
            </w:pPr>
            <w:r w:rsidRPr="00F8054C">
              <w:rPr>
                <w:color w:val="auto"/>
                <w:sz w:val="18"/>
                <w:szCs w:val="18"/>
              </w:rPr>
              <w:t>rare</w:t>
            </w:r>
          </w:p>
        </w:tc>
      </w:tr>
      <w:tr w:rsidR="00F8054C" w:rsidRPr="004564F2" w14:paraId="0FA507A0" w14:textId="77777777" w:rsidTr="00F8054C">
        <w:tc>
          <w:tcPr>
            <w:tcW w:w="3614" w:type="dxa"/>
            <w:tcBorders>
              <w:top w:val="single" w:sz="4" w:space="0" w:color="auto"/>
              <w:left w:val="single" w:sz="4" w:space="0" w:color="auto"/>
              <w:bottom w:val="single" w:sz="4" w:space="0" w:color="auto"/>
              <w:right w:val="single" w:sz="4" w:space="0" w:color="auto"/>
            </w:tcBorders>
            <w:shd w:val="clear" w:color="auto" w:fill="auto"/>
          </w:tcPr>
          <w:p w14:paraId="00308644" w14:textId="77777777" w:rsidR="00F8054C" w:rsidRPr="00F8054C" w:rsidRDefault="00F8054C" w:rsidP="00482DEA">
            <w:pPr>
              <w:pStyle w:val="Text"/>
              <w:spacing w:before="0" w:after="0" w:line="276" w:lineRule="auto"/>
              <w:rPr>
                <w:noProof/>
                <w:sz w:val="18"/>
                <w:szCs w:val="18"/>
              </w:rPr>
            </w:pPr>
            <w:r w:rsidRPr="00F8054C">
              <w:rPr>
                <w:noProof/>
                <w:sz w:val="18"/>
                <w:szCs w:val="18"/>
              </w:rPr>
              <w:t>Cardiac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09B9BC5" w14:textId="77777777" w:rsidR="00F8054C" w:rsidRPr="00F8054C" w:rsidRDefault="00F8054C" w:rsidP="00482DEA">
            <w:pPr>
              <w:pStyle w:val="Text"/>
              <w:spacing w:before="0" w:after="0" w:line="276" w:lineRule="auto"/>
              <w:jc w:val="left"/>
              <w:rPr>
                <w:sz w:val="18"/>
                <w:szCs w:val="18"/>
                <w:lang w:val="en-US"/>
              </w:rPr>
            </w:pPr>
            <w:r>
              <w:rPr>
                <w:sz w:val="18"/>
                <w:szCs w:val="18"/>
                <w:lang w:val="en-US"/>
              </w:rPr>
              <w:t>t</w:t>
            </w:r>
            <w:r w:rsidRPr="00B066F9">
              <w:rPr>
                <w:sz w:val="18"/>
                <w:szCs w:val="18"/>
                <w:lang w:val="en-US"/>
              </w:rPr>
              <w:t>achycardia</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CB3AFD5"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46D4962"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tc>
      </w:tr>
      <w:tr w:rsidR="00F8054C" w:rsidRPr="004564F2" w14:paraId="55398721"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4922427E" w14:textId="77777777" w:rsidR="00F8054C" w:rsidRPr="00F8054C" w:rsidRDefault="00F8054C" w:rsidP="00482DEA">
            <w:pPr>
              <w:pStyle w:val="Text"/>
              <w:spacing w:before="0" w:after="0" w:line="276" w:lineRule="auto"/>
              <w:rPr>
                <w:noProof/>
                <w:sz w:val="18"/>
                <w:szCs w:val="18"/>
              </w:rPr>
            </w:pPr>
            <w:r w:rsidRPr="00F8054C">
              <w:rPr>
                <w:noProof/>
                <w:sz w:val="18"/>
                <w:szCs w:val="18"/>
              </w:rPr>
              <w:t>Vascular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25DAC8C" w14:textId="77777777" w:rsidR="00F8054C" w:rsidRPr="00B066F9" w:rsidRDefault="004A300F" w:rsidP="00482DEA">
            <w:pPr>
              <w:pStyle w:val="Text"/>
              <w:spacing w:before="0" w:after="0" w:line="276" w:lineRule="auto"/>
              <w:jc w:val="left"/>
              <w:rPr>
                <w:sz w:val="18"/>
                <w:szCs w:val="18"/>
                <w:lang w:val="en-US"/>
              </w:rPr>
            </w:pPr>
            <w:r>
              <w:rPr>
                <w:sz w:val="18"/>
                <w:szCs w:val="18"/>
                <w:lang w:val="en-US"/>
              </w:rPr>
              <w:t>h</w:t>
            </w:r>
            <w:r w:rsidR="00F8054C" w:rsidRPr="00B066F9">
              <w:rPr>
                <w:sz w:val="18"/>
                <w:szCs w:val="18"/>
                <w:lang w:val="en-US"/>
              </w:rPr>
              <w:t>ypertension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EB1495C" w14:textId="77777777" w:rsidR="00F8054C" w:rsidRPr="00B066F9" w:rsidRDefault="00A56201" w:rsidP="00482DEA">
            <w:pPr>
              <w:pStyle w:val="Text"/>
              <w:spacing w:before="0" w:after="0" w:line="276" w:lineRule="auto"/>
              <w:jc w:val="center"/>
              <w:rPr>
                <w:color w:val="auto"/>
                <w:sz w:val="18"/>
                <w:szCs w:val="18"/>
                <w:lang w:val="en-US"/>
              </w:rPr>
            </w:pPr>
            <w:r>
              <w:rPr>
                <w:color w:val="auto"/>
                <w:sz w:val="18"/>
                <w:szCs w:val="18"/>
                <w:lang w:val="en-US"/>
              </w:rPr>
              <w:t>c</w:t>
            </w:r>
            <w:r w:rsidR="00F8054C" w:rsidRPr="00B066F9">
              <w:rPr>
                <w:color w:val="auto"/>
                <w:sz w:val="18"/>
                <w:szCs w:val="18"/>
                <w:lang w:val="en-US"/>
              </w:rPr>
              <w:t>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2580160" w14:textId="77777777" w:rsidR="00F8054C" w:rsidRPr="00B066F9" w:rsidRDefault="00A56201" w:rsidP="00482DEA">
            <w:pPr>
              <w:pStyle w:val="Text"/>
              <w:spacing w:before="0" w:after="0" w:line="276" w:lineRule="auto"/>
              <w:jc w:val="center"/>
              <w:rPr>
                <w:color w:val="auto"/>
                <w:sz w:val="18"/>
                <w:szCs w:val="18"/>
              </w:rPr>
            </w:pPr>
            <w:r>
              <w:rPr>
                <w:color w:val="auto"/>
                <w:sz w:val="18"/>
                <w:szCs w:val="18"/>
              </w:rPr>
              <w:t>c</w:t>
            </w:r>
            <w:r w:rsidR="00F8054C" w:rsidRPr="00B066F9">
              <w:rPr>
                <w:color w:val="auto"/>
                <w:sz w:val="18"/>
                <w:szCs w:val="18"/>
              </w:rPr>
              <w:t>ommon</w:t>
            </w:r>
          </w:p>
        </w:tc>
      </w:tr>
      <w:tr w:rsidR="00F8054C" w:rsidRPr="004564F2" w14:paraId="5EE2D6A0"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1B01F33A" w14:textId="77777777" w:rsidR="00F8054C" w:rsidRPr="00F8054C"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34DCC3AD" w14:textId="77777777" w:rsidR="00F8054C" w:rsidRPr="00B066F9" w:rsidRDefault="004A300F" w:rsidP="00482DEA">
            <w:pPr>
              <w:pStyle w:val="Text"/>
              <w:spacing w:before="0" w:after="0" w:line="276" w:lineRule="auto"/>
              <w:jc w:val="left"/>
              <w:rPr>
                <w:sz w:val="18"/>
                <w:szCs w:val="18"/>
                <w:lang w:val="en-US"/>
              </w:rPr>
            </w:pPr>
            <w:r>
              <w:rPr>
                <w:sz w:val="18"/>
                <w:szCs w:val="18"/>
                <w:lang w:val="en-US"/>
              </w:rPr>
              <w:t>t</w:t>
            </w:r>
            <w:r w:rsidR="00F8054C" w:rsidRPr="00F8054C">
              <w:rPr>
                <w:sz w:val="18"/>
                <w:szCs w:val="18"/>
                <w:lang w:val="en-US"/>
              </w:rPr>
              <w:t>hrombosis</w:t>
            </w:r>
            <w:r w:rsidR="00F8054C">
              <w:rPr>
                <w:sz w:val="18"/>
                <w:szCs w:val="18"/>
                <w:lang w:val="en-US"/>
              </w:rPr>
              <w:t xml:space="preserve"> (see 4.4)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44B81E4" w14:textId="77777777" w:rsidR="00F8054C" w:rsidRPr="00B066F9" w:rsidRDefault="00F8054C" w:rsidP="00482DEA">
            <w:pPr>
              <w:pStyle w:val="Text"/>
              <w:spacing w:before="0" w:after="0" w:line="276" w:lineRule="auto"/>
              <w:jc w:val="center"/>
              <w:rPr>
                <w:color w:val="auto"/>
                <w:sz w:val="18"/>
                <w:szCs w:val="18"/>
                <w:lang w:val="en-US"/>
              </w:rPr>
            </w:pPr>
            <w:r w:rsidRPr="00F8054C">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FC2CA97" w14:textId="77777777" w:rsidR="00F8054C" w:rsidRPr="00B066F9" w:rsidRDefault="00F8054C" w:rsidP="00482DEA">
            <w:pPr>
              <w:pStyle w:val="Text"/>
              <w:spacing w:before="0" w:after="0" w:line="276" w:lineRule="auto"/>
              <w:jc w:val="center"/>
              <w:rPr>
                <w:color w:val="auto"/>
                <w:sz w:val="18"/>
                <w:szCs w:val="18"/>
              </w:rPr>
            </w:pPr>
            <w:r w:rsidRPr="00F8054C">
              <w:rPr>
                <w:color w:val="auto"/>
                <w:sz w:val="18"/>
                <w:szCs w:val="18"/>
              </w:rPr>
              <w:t>rare</w:t>
            </w:r>
          </w:p>
        </w:tc>
      </w:tr>
      <w:tr w:rsidR="00F8054C" w:rsidRPr="004564F2" w14:paraId="1A15D260"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3F5094D0" w14:textId="77777777" w:rsidR="00F8054C" w:rsidRPr="00F8054C" w:rsidRDefault="00F8054C" w:rsidP="00482DEA">
            <w:pPr>
              <w:pStyle w:val="Text"/>
              <w:spacing w:before="0" w:after="0" w:line="276" w:lineRule="auto"/>
              <w:rPr>
                <w:noProof/>
                <w:sz w:val="18"/>
                <w:szCs w:val="18"/>
              </w:rPr>
            </w:pPr>
            <w:r w:rsidRPr="004564F2">
              <w:rPr>
                <w:noProof/>
                <w:sz w:val="18"/>
                <w:szCs w:val="18"/>
              </w:rPr>
              <w:t>Gastrointestinal</w:t>
            </w:r>
            <w:r w:rsidRPr="00F8054C">
              <w:rPr>
                <w:noProof/>
                <w:sz w:val="18"/>
                <w:szCs w:val="18"/>
              </w:rPr>
              <w:t xml:space="preserve">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169BD7E" w14:textId="77777777" w:rsidR="00F8054C" w:rsidRPr="00F8054C" w:rsidRDefault="00F8054C" w:rsidP="00482DEA">
            <w:pPr>
              <w:pStyle w:val="Text"/>
              <w:spacing w:before="0" w:after="0" w:line="276" w:lineRule="auto"/>
              <w:jc w:val="left"/>
              <w:rPr>
                <w:sz w:val="18"/>
                <w:szCs w:val="18"/>
                <w:lang w:val="en-US"/>
              </w:rPr>
            </w:pPr>
            <w:r w:rsidRPr="00F8054C">
              <w:rPr>
                <w:sz w:val="18"/>
                <w:szCs w:val="18"/>
                <w:lang w:val="en-US"/>
              </w:rPr>
              <w:t>nausea</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0973AA8"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4B1F521"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common</w:t>
            </w:r>
          </w:p>
        </w:tc>
      </w:tr>
      <w:tr w:rsidR="00F8054C" w:rsidRPr="004564F2" w14:paraId="7F9D9C58"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5234691E" w14:textId="77777777" w:rsidR="00F8054C" w:rsidRPr="004564F2"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3FB17F3D" w14:textId="77777777" w:rsidR="00F8054C" w:rsidRPr="00F8054C" w:rsidRDefault="00F8054C" w:rsidP="00482DEA">
            <w:pPr>
              <w:pStyle w:val="Text"/>
              <w:spacing w:before="0" w:after="0" w:line="276" w:lineRule="auto"/>
              <w:jc w:val="left"/>
              <w:rPr>
                <w:sz w:val="18"/>
                <w:szCs w:val="18"/>
                <w:lang w:val="en-US"/>
              </w:rPr>
            </w:pPr>
            <w:r w:rsidRPr="00F8054C">
              <w:rPr>
                <w:sz w:val="18"/>
                <w:szCs w:val="18"/>
                <w:lang w:val="en-US"/>
              </w:rPr>
              <w:t>vomiting</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76B0AC0"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0881516"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tc>
      </w:tr>
      <w:tr w:rsidR="00F8054C" w:rsidRPr="004564F2" w14:paraId="3EEDD3AC"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5C83D461" w14:textId="77777777" w:rsidR="00F8054C" w:rsidRPr="004564F2" w:rsidRDefault="00F8054C" w:rsidP="00482DEA">
            <w:pPr>
              <w:pStyle w:val="Text"/>
              <w:spacing w:before="0" w:after="0" w:line="276" w:lineRule="auto"/>
              <w:rPr>
                <w:noProof/>
                <w:sz w:val="18"/>
                <w:szCs w:val="18"/>
              </w:rPr>
            </w:pPr>
            <w:r w:rsidRPr="004564F2">
              <w:rPr>
                <w:noProof/>
                <w:sz w:val="18"/>
                <w:szCs w:val="18"/>
              </w:rPr>
              <w:t>Musculoskeletal and connective tissue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8776EB8" w14:textId="77777777" w:rsidR="00F8054C" w:rsidRPr="00F8054C" w:rsidRDefault="004A300F" w:rsidP="00482DEA">
            <w:pPr>
              <w:pStyle w:val="Text"/>
              <w:spacing w:before="0" w:after="0" w:line="276" w:lineRule="auto"/>
              <w:jc w:val="left"/>
              <w:rPr>
                <w:sz w:val="18"/>
                <w:szCs w:val="18"/>
                <w:lang w:val="en-US"/>
              </w:rPr>
            </w:pPr>
            <w:r>
              <w:rPr>
                <w:sz w:val="18"/>
                <w:szCs w:val="18"/>
                <w:lang w:val="en-US"/>
              </w:rPr>
              <w:t>m</w:t>
            </w:r>
            <w:r w:rsidR="00F8054C" w:rsidRPr="00F8054C">
              <w:rPr>
                <w:sz w:val="18"/>
                <w:szCs w:val="18"/>
                <w:lang w:val="en-US"/>
              </w:rPr>
              <w:t>yalgia, pain in extremity</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8DF6EBF"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commo</w:t>
            </w:r>
            <w:r>
              <w:rPr>
                <w:color w:val="auto"/>
                <w:sz w:val="18"/>
                <w:szCs w:val="18"/>
                <w:lang w:val="en-US"/>
              </w:rPr>
              <w:t>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EA8706D"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tc>
      </w:tr>
      <w:tr w:rsidR="00F8054C" w:rsidRPr="004564F2" w14:paraId="37130762"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44DE51AA" w14:textId="77777777" w:rsidR="00F8054C" w:rsidRPr="004564F2"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1FEFBAFB" w14:textId="77777777" w:rsidR="00F8054C" w:rsidRPr="00F8054C" w:rsidRDefault="00F8054C" w:rsidP="00482DEA">
            <w:pPr>
              <w:pStyle w:val="Text"/>
              <w:spacing w:before="0" w:after="0" w:line="276" w:lineRule="auto"/>
              <w:jc w:val="left"/>
              <w:rPr>
                <w:sz w:val="18"/>
                <w:szCs w:val="18"/>
                <w:lang w:val="en-US"/>
              </w:rPr>
            </w:pPr>
            <w:r w:rsidRPr="00F8054C">
              <w:rPr>
                <w:sz w:val="18"/>
                <w:szCs w:val="18"/>
                <w:lang w:val="en-US"/>
              </w:rPr>
              <w:t>back pain, arthralgia, muscle spasms</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AE4E8F4"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AC9B434"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tc>
      </w:tr>
      <w:tr w:rsidR="00F8054C" w:rsidRPr="004564F2" w14:paraId="159413B5"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700F01EE" w14:textId="77777777" w:rsidR="00F8054C" w:rsidRPr="004564F2" w:rsidRDefault="00F8054C" w:rsidP="00482DEA">
            <w:pPr>
              <w:pStyle w:val="Text"/>
              <w:spacing w:before="0" w:after="0" w:line="276" w:lineRule="auto"/>
              <w:rPr>
                <w:noProof/>
                <w:sz w:val="18"/>
                <w:szCs w:val="18"/>
              </w:rPr>
            </w:pPr>
            <w:r>
              <w:rPr>
                <w:noProof/>
                <w:sz w:val="18"/>
                <w:szCs w:val="18"/>
              </w:rPr>
              <w:t>Respiratory, thoracic and mediastinal disorders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0ACA04AB" w14:textId="77777777" w:rsidR="00F8054C" w:rsidRPr="00B066F9" w:rsidRDefault="004A300F" w:rsidP="00482DEA">
            <w:pPr>
              <w:pStyle w:val="Text"/>
              <w:spacing w:before="0" w:after="0" w:line="276" w:lineRule="auto"/>
              <w:jc w:val="left"/>
              <w:rPr>
                <w:sz w:val="18"/>
                <w:szCs w:val="18"/>
                <w:lang w:val="en-US"/>
              </w:rPr>
            </w:pPr>
            <w:proofErr w:type="spellStart"/>
            <w:r>
              <w:rPr>
                <w:sz w:val="18"/>
                <w:szCs w:val="18"/>
                <w:lang w:val="en-US"/>
              </w:rPr>
              <w:t>d</w:t>
            </w:r>
            <w:r w:rsidR="00F8054C" w:rsidRPr="00B066F9">
              <w:rPr>
                <w:sz w:val="18"/>
                <w:szCs w:val="18"/>
                <w:lang w:val="en-US"/>
              </w:rPr>
              <w:t>yspnoea</w:t>
            </w:r>
            <w:proofErr w:type="spellEnd"/>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0321DBAF" w14:textId="77777777" w:rsidR="00F8054C" w:rsidRPr="00B066F9" w:rsidRDefault="00F8054C" w:rsidP="00482DEA">
            <w:pPr>
              <w:pStyle w:val="Text"/>
              <w:spacing w:before="0" w:after="0" w:line="276" w:lineRule="auto"/>
              <w:jc w:val="center"/>
              <w:rPr>
                <w:color w:val="auto"/>
                <w:sz w:val="18"/>
                <w:szCs w:val="18"/>
                <w:lang w:val="en-US"/>
              </w:rPr>
            </w:pPr>
            <w:r>
              <w:rPr>
                <w:color w:val="auto"/>
                <w:sz w:val="18"/>
                <w:szCs w:val="18"/>
                <w:lang w:val="en-US"/>
              </w:rPr>
              <w:t>u</w:t>
            </w:r>
            <w:r w:rsidRPr="00B066F9">
              <w:rPr>
                <w:color w:val="auto"/>
                <w:sz w:val="18"/>
                <w:szCs w:val="18"/>
                <w:lang w:val="en-US"/>
              </w:rPr>
              <w:t>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4F56798" w14:textId="77777777" w:rsidR="00F8054C" w:rsidRPr="00B066F9" w:rsidRDefault="00F8054C" w:rsidP="00482DEA">
            <w:pPr>
              <w:pStyle w:val="Text"/>
              <w:spacing w:before="0" w:after="0" w:line="276" w:lineRule="auto"/>
              <w:jc w:val="center"/>
              <w:rPr>
                <w:color w:val="auto"/>
                <w:sz w:val="18"/>
                <w:szCs w:val="18"/>
              </w:rPr>
            </w:pPr>
            <w:r>
              <w:rPr>
                <w:color w:val="auto"/>
                <w:sz w:val="18"/>
                <w:szCs w:val="18"/>
              </w:rPr>
              <w:t>u</w:t>
            </w:r>
            <w:r w:rsidRPr="00B066F9">
              <w:rPr>
                <w:color w:val="auto"/>
                <w:sz w:val="18"/>
                <w:szCs w:val="18"/>
              </w:rPr>
              <w:t>ncommon</w:t>
            </w:r>
          </w:p>
        </w:tc>
      </w:tr>
      <w:tr w:rsidR="00F8054C" w:rsidRPr="004564F2" w14:paraId="39A5E569"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6CC4B6EE" w14:textId="77777777" w:rsidR="00F8054C"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1AAC0CC" w14:textId="77777777" w:rsidR="00F8054C" w:rsidRPr="00B066F9" w:rsidRDefault="004A300F" w:rsidP="00482DEA">
            <w:pPr>
              <w:pStyle w:val="Text"/>
              <w:spacing w:before="0" w:after="0" w:line="276" w:lineRule="auto"/>
              <w:jc w:val="left"/>
              <w:rPr>
                <w:sz w:val="18"/>
                <w:szCs w:val="18"/>
                <w:lang w:val="en-US"/>
              </w:rPr>
            </w:pPr>
            <w:r>
              <w:rPr>
                <w:sz w:val="18"/>
                <w:szCs w:val="18"/>
                <w:lang w:val="en-US"/>
              </w:rPr>
              <w:t>p</w:t>
            </w:r>
            <w:r w:rsidR="00F8054C" w:rsidRPr="00F8054C">
              <w:rPr>
                <w:sz w:val="18"/>
                <w:szCs w:val="18"/>
                <w:lang w:val="en-US"/>
              </w:rPr>
              <w:t>ulmonary embolism</w:t>
            </w:r>
            <w:r w:rsidR="00C467F3">
              <w:rPr>
                <w:sz w:val="18"/>
                <w:szCs w:val="18"/>
                <w:lang w:val="en-US"/>
              </w:rPr>
              <w:t xml:space="preserve"> (See 4.4)</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1EB32129" w14:textId="77777777" w:rsidR="00F8054C" w:rsidRPr="00B066F9" w:rsidRDefault="00F8054C" w:rsidP="00482DEA">
            <w:pPr>
              <w:pStyle w:val="Text"/>
              <w:spacing w:before="0" w:after="0" w:line="276" w:lineRule="auto"/>
              <w:jc w:val="center"/>
              <w:rPr>
                <w:color w:val="auto"/>
                <w:sz w:val="18"/>
                <w:szCs w:val="18"/>
                <w:lang w:val="en-US"/>
              </w:rPr>
            </w:pPr>
            <w:r w:rsidRPr="00F8054C">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590BED92" w14:textId="77777777" w:rsidR="00F8054C" w:rsidRPr="00B066F9" w:rsidRDefault="00F8054C" w:rsidP="00482DEA">
            <w:pPr>
              <w:pStyle w:val="Text"/>
              <w:spacing w:before="0" w:after="0" w:line="276" w:lineRule="auto"/>
              <w:jc w:val="center"/>
              <w:rPr>
                <w:color w:val="auto"/>
                <w:sz w:val="18"/>
                <w:szCs w:val="18"/>
              </w:rPr>
            </w:pPr>
            <w:r w:rsidRPr="00F8054C">
              <w:rPr>
                <w:color w:val="auto"/>
                <w:sz w:val="18"/>
                <w:szCs w:val="18"/>
              </w:rPr>
              <w:t>rare</w:t>
            </w:r>
          </w:p>
        </w:tc>
      </w:tr>
      <w:tr w:rsidR="00F8054C" w:rsidRPr="004564F2" w14:paraId="54E18069"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2C5ED226" w14:textId="77777777" w:rsidR="00F8054C" w:rsidRPr="004564F2" w:rsidRDefault="00F8054C" w:rsidP="00482DEA">
            <w:pPr>
              <w:pStyle w:val="Text"/>
              <w:spacing w:before="0" w:after="0" w:line="276" w:lineRule="auto"/>
              <w:rPr>
                <w:noProof/>
                <w:sz w:val="18"/>
                <w:szCs w:val="18"/>
              </w:rPr>
            </w:pPr>
            <w:r w:rsidRPr="004564F2">
              <w:rPr>
                <w:noProof/>
                <w:sz w:val="18"/>
                <w:szCs w:val="18"/>
              </w:rPr>
              <w:t>General disorders and administration site conditions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CB0CFF3" w14:textId="77777777" w:rsidR="00F8054C" w:rsidRPr="00AC488D" w:rsidRDefault="00F8054C" w:rsidP="00482DEA">
            <w:pPr>
              <w:pStyle w:val="Text"/>
              <w:spacing w:before="0" w:after="0" w:line="276" w:lineRule="auto"/>
              <w:jc w:val="left"/>
              <w:rPr>
                <w:sz w:val="18"/>
                <w:szCs w:val="18"/>
                <w:lang w:val="en-US"/>
              </w:rPr>
            </w:pPr>
            <w:r w:rsidRPr="00AC488D">
              <w:rPr>
                <w:sz w:val="18"/>
                <w:szCs w:val="18"/>
                <w:lang w:val="en-US"/>
              </w:rPr>
              <w:t>fever</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6267671"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C9AACBB" w14:textId="77777777" w:rsidR="00F8054C" w:rsidRPr="00B95CF6" w:rsidRDefault="00F8054C" w:rsidP="00482DEA">
            <w:pPr>
              <w:pStyle w:val="Text"/>
              <w:spacing w:before="0" w:after="0" w:line="276" w:lineRule="auto"/>
              <w:jc w:val="center"/>
              <w:rPr>
                <w:color w:val="auto"/>
                <w:sz w:val="18"/>
                <w:szCs w:val="18"/>
              </w:rPr>
            </w:pPr>
            <w:r w:rsidRPr="00B066F9">
              <w:rPr>
                <w:color w:val="auto"/>
                <w:sz w:val="18"/>
                <w:szCs w:val="18"/>
              </w:rPr>
              <w:t>common</w:t>
            </w:r>
          </w:p>
        </w:tc>
      </w:tr>
      <w:tr w:rsidR="00F8054C" w:rsidRPr="004564F2" w14:paraId="55B01E0B" w14:textId="77777777" w:rsidTr="00F8054C">
        <w:tc>
          <w:tcPr>
            <w:tcW w:w="3614" w:type="dxa"/>
            <w:tcBorders>
              <w:top w:val="nil"/>
              <w:left w:val="single" w:sz="4" w:space="0" w:color="auto"/>
              <w:bottom w:val="nil"/>
              <w:right w:val="single" w:sz="4" w:space="0" w:color="auto"/>
            </w:tcBorders>
            <w:shd w:val="clear" w:color="auto" w:fill="auto"/>
          </w:tcPr>
          <w:p w14:paraId="6A082D5C" w14:textId="77777777" w:rsidR="00F8054C" w:rsidRPr="004564F2"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6C10DDE" w14:textId="77777777" w:rsidR="00F8054C" w:rsidRPr="00AC488D" w:rsidRDefault="00F8054C" w:rsidP="00482DEA">
            <w:pPr>
              <w:pStyle w:val="Text"/>
              <w:spacing w:before="0" w:after="0" w:line="276" w:lineRule="auto"/>
              <w:jc w:val="left"/>
              <w:rPr>
                <w:sz w:val="18"/>
                <w:szCs w:val="18"/>
                <w:lang w:val="en-US"/>
              </w:rPr>
            </w:pPr>
            <w:r w:rsidRPr="00AC488D">
              <w:rPr>
                <w:sz w:val="18"/>
                <w:szCs w:val="18"/>
                <w:lang w:val="en-US"/>
              </w:rPr>
              <w:t>fatigue</w:t>
            </w:r>
            <w:r>
              <w:rPr>
                <w:sz w:val="18"/>
                <w:szCs w:val="18"/>
                <w:lang w:val="en-US"/>
              </w:rPr>
              <w:t xml:space="preserve">, </w:t>
            </w:r>
            <w:r w:rsidRPr="00AC488D">
              <w:rPr>
                <w:sz w:val="18"/>
                <w:szCs w:val="18"/>
                <w:lang w:val="en-US"/>
              </w:rPr>
              <w:t>injection site reaction</w:t>
            </w:r>
            <w:r>
              <w:rPr>
                <w:sz w:val="18"/>
                <w:szCs w:val="18"/>
                <w:lang w:val="en-US"/>
              </w:rPr>
              <w:t xml:space="preserve">, </w:t>
            </w:r>
            <w:r w:rsidRPr="00F8054C">
              <w:rPr>
                <w:sz w:val="18"/>
                <w:szCs w:val="18"/>
                <w:lang w:val="en-US"/>
              </w:rPr>
              <w:t>chills</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73DE99F"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common</w:t>
            </w:r>
          </w:p>
          <w:p w14:paraId="2D3848C9" w14:textId="77777777" w:rsidR="00F8054C" w:rsidRPr="00B066F9" w:rsidRDefault="00F8054C" w:rsidP="00482DEA">
            <w:pPr>
              <w:pStyle w:val="Text"/>
              <w:spacing w:before="0" w:after="0" w:line="276" w:lineRule="auto"/>
              <w:jc w:val="center"/>
              <w:rPr>
                <w:color w:val="auto"/>
                <w:sz w:val="18"/>
                <w:szCs w:val="18"/>
                <w:lang w:val="en-US"/>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634D208F"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p w14:paraId="20E6EA1D" w14:textId="77777777" w:rsidR="00F8054C" w:rsidRPr="00B066F9" w:rsidRDefault="00F8054C" w:rsidP="00482DEA">
            <w:pPr>
              <w:pStyle w:val="Text"/>
              <w:spacing w:before="0" w:after="0" w:line="276" w:lineRule="auto"/>
              <w:jc w:val="center"/>
              <w:rPr>
                <w:color w:val="auto"/>
                <w:sz w:val="18"/>
                <w:szCs w:val="18"/>
              </w:rPr>
            </w:pPr>
          </w:p>
        </w:tc>
      </w:tr>
      <w:tr w:rsidR="00F8054C" w:rsidRPr="004564F2" w14:paraId="5F9817F5"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607D7F16" w14:textId="77777777" w:rsidR="00F8054C" w:rsidRPr="004564F2"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498148D5" w14:textId="77777777" w:rsidR="00F8054C" w:rsidRPr="00AC488D" w:rsidRDefault="00F8054C" w:rsidP="00482DEA">
            <w:pPr>
              <w:pStyle w:val="Text"/>
              <w:spacing w:before="0" w:after="0" w:line="276" w:lineRule="auto"/>
              <w:jc w:val="left"/>
              <w:rPr>
                <w:sz w:val="18"/>
                <w:szCs w:val="18"/>
                <w:lang w:val="en-US"/>
              </w:rPr>
            </w:pPr>
            <w:r w:rsidRPr="00F8054C">
              <w:rPr>
                <w:sz w:val="18"/>
                <w:szCs w:val="18"/>
                <w:lang w:val="en-US"/>
              </w:rPr>
              <w:t>chest pain</w:t>
            </w:r>
            <w:r>
              <w:rPr>
                <w:sz w:val="18"/>
                <w:szCs w:val="18"/>
                <w:lang w:val="en-US"/>
              </w:rPr>
              <w:t xml:space="preserve">, </w:t>
            </w:r>
            <w:r w:rsidRPr="00F8054C">
              <w:rPr>
                <w:sz w:val="18"/>
                <w:szCs w:val="18"/>
                <w:lang w:val="en-US"/>
              </w:rPr>
              <w:t>asthenia</w:t>
            </w:r>
            <w:r>
              <w:rPr>
                <w:sz w:val="18"/>
                <w:szCs w:val="18"/>
                <w:lang w:val="en-US"/>
              </w:rPr>
              <w:t xml:space="preserve">, </w:t>
            </w:r>
            <w:r w:rsidRPr="00F8054C">
              <w:rPr>
                <w:sz w:val="18"/>
                <w:szCs w:val="18"/>
                <w:lang w:val="en-US"/>
              </w:rPr>
              <w:t>peripheral swelling</w:t>
            </w:r>
            <w:r>
              <w:rPr>
                <w:sz w:val="18"/>
                <w:szCs w:val="18"/>
                <w:lang w:val="en-US"/>
              </w:rPr>
              <w:t xml:space="preserve">, </w:t>
            </w:r>
            <w:r w:rsidRPr="00F8054C">
              <w:rPr>
                <w:sz w:val="18"/>
                <w:szCs w:val="18"/>
                <w:lang w:val="en-US"/>
              </w:rPr>
              <w:t>malaise</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7FD3E50C" w14:textId="77777777" w:rsidR="00F8054C" w:rsidRPr="00B066F9"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uncommon</w:t>
            </w:r>
          </w:p>
          <w:p w14:paraId="7F06FD1C" w14:textId="77777777" w:rsidR="00F8054C" w:rsidRPr="00B066F9" w:rsidRDefault="00F8054C" w:rsidP="00482DEA">
            <w:pPr>
              <w:pStyle w:val="Text"/>
              <w:spacing w:before="0" w:after="0" w:line="276" w:lineRule="auto"/>
              <w:jc w:val="center"/>
              <w:rPr>
                <w:color w:val="auto"/>
                <w:sz w:val="18"/>
                <w:szCs w:val="18"/>
                <w:lang w:val="en-US"/>
              </w:rPr>
            </w:pP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A290FD6" w14:textId="77777777" w:rsidR="00F8054C" w:rsidRPr="00B066F9" w:rsidRDefault="00F8054C" w:rsidP="00482DEA">
            <w:pPr>
              <w:pStyle w:val="Text"/>
              <w:spacing w:before="0" w:after="0" w:line="276" w:lineRule="auto"/>
              <w:jc w:val="center"/>
              <w:rPr>
                <w:color w:val="auto"/>
                <w:sz w:val="18"/>
                <w:szCs w:val="18"/>
              </w:rPr>
            </w:pPr>
            <w:r w:rsidRPr="00B066F9">
              <w:rPr>
                <w:color w:val="auto"/>
                <w:sz w:val="18"/>
                <w:szCs w:val="18"/>
              </w:rPr>
              <w:t>uncommon</w:t>
            </w:r>
          </w:p>
          <w:p w14:paraId="2451578A" w14:textId="77777777" w:rsidR="00F8054C" w:rsidRPr="00B066F9" w:rsidRDefault="00F8054C" w:rsidP="00482DEA">
            <w:pPr>
              <w:pStyle w:val="Text"/>
              <w:spacing w:before="0" w:after="0" w:line="276" w:lineRule="auto"/>
              <w:jc w:val="center"/>
              <w:rPr>
                <w:color w:val="auto"/>
                <w:sz w:val="18"/>
                <w:szCs w:val="18"/>
              </w:rPr>
            </w:pPr>
          </w:p>
        </w:tc>
      </w:tr>
      <w:tr w:rsidR="00F8054C" w:rsidRPr="004564F2" w14:paraId="0268C648" w14:textId="77777777" w:rsidTr="00F8054C">
        <w:tc>
          <w:tcPr>
            <w:tcW w:w="3614" w:type="dxa"/>
            <w:tcBorders>
              <w:top w:val="single" w:sz="4" w:space="0" w:color="auto"/>
              <w:left w:val="single" w:sz="4" w:space="0" w:color="auto"/>
              <w:bottom w:val="nil"/>
              <w:right w:val="single" w:sz="4" w:space="0" w:color="auto"/>
            </w:tcBorders>
            <w:shd w:val="clear" w:color="auto" w:fill="auto"/>
          </w:tcPr>
          <w:p w14:paraId="68DBEF23" w14:textId="77777777" w:rsidR="00F8054C" w:rsidRPr="004564F2" w:rsidRDefault="00F8054C" w:rsidP="00482DEA">
            <w:pPr>
              <w:pStyle w:val="Text"/>
              <w:spacing w:before="0" w:after="0" w:line="276" w:lineRule="auto"/>
              <w:rPr>
                <w:noProof/>
                <w:sz w:val="18"/>
                <w:szCs w:val="18"/>
              </w:rPr>
            </w:pPr>
            <w:r>
              <w:rPr>
                <w:noProof/>
                <w:sz w:val="18"/>
                <w:szCs w:val="18"/>
              </w:rPr>
              <w:t>Investigations</w:t>
            </w: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58720973" w14:textId="77777777" w:rsidR="00F8054C" w:rsidRPr="00B066F9" w:rsidRDefault="00F8054C" w:rsidP="00482DEA">
            <w:pPr>
              <w:pStyle w:val="Text"/>
              <w:spacing w:before="0" w:after="0" w:line="276" w:lineRule="auto"/>
              <w:jc w:val="left"/>
              <w:rPr>
                <w:sz w:val="18"/>
                <w:szCs w:val="18"/>
                <w:lang w:val="en-US"/>
              </w:rPr>
            </w:pPr>
            <w:r w:rsidRPr="00B066F9">
              <w:rPr>
                <w:sz w:val="18"/>
                <w:szCs w:val="18"/>
                <w:lang w:val="en-US"/>
              </w:rPr>
              <w:t xml:space="preserve">hepatic enzymes </w:t>
            </w:r>
            <w:proofErr w:type="gramStart"/>
            <w:r w:rsidRPr="00B066F9">
              <w:rPr>
                <w:sz w:val="18"/>
                <w:szCs w:val="18"/>
                <w:lang w:val="en-US"/>
              </w:rPr>
              <w:t>increased</w:t>
            </w:r>
            <w:r>
              <w:rPr>
                <w:sz w:val="18"/>
                <w:szCs w:val="18"/>
                <w:lang w:val="en-US"/>
              </w:rPr>
              <w:t>,</w:t>
            </w:r>
            <w:proofErr w:type="gramEnd"/>
            <w:r>
              <w:rPr>
                <w:sz w:val="18"/>
                <w:szCs w:val="18"/>
                <w:lang w:val="en-US"/>
              </w:rPr>
              <w:t xml:space="preserve"> </w:t>
            </w:r>
            <w:r w:rsidRPr="00B066F9">
              <w:rPr>
                <w:sz w:val="18"/>
                <w:szCs w:val="18"/>
                <w:lang w:val="en-US"/>
              </w:rPr>
              <w:t>Coombs test positive</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29E164A9" w14:textId="77777777" w:rsidR="00F8054C" w:rsidRPr="00B066F9" w:rsidRDefault="00F8054C" w:rsidP="00482DEA">
            <w:pPr>
              <w:pStyle w:val="Text"/>
              <w:spacing w:before="0" w:after="0" w:line="276" w:lineRule="auto"/>
              <w:jc w:val="center"/>
              <w:rPr>
                <w:color w:val="auto"/>
                <w:sz w:val="18"/>
                <w:szCs w:val="18"/>
                <w:lang w:val="en-US"/>
              </w:rPr>
            </w:pPr>
            <w:r>
              <w:rPr>
                <w:color w:val="auto"/>
                <w:sz w:val="18"/>
                <w:szCs w:val="18"/>
                <w:lang w:val="en-US"/>
              </w:rPr>
              <w:t>c</w:t>
            </w:r>
            <w:r w:rsidRPr="00B066F9">
              <w:rPr>
                <w:color w:val="auto"/>
                <w:sz w:val="18"/>
                <w:szCs w:val="18"/>
                <w:lang w:val="en-US"/>
              </w:rPr>
              <w:t>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6DF5FBE" w14:textId="77777777" w:rsidR="00F8054C" w:rsidRPr="00B066F9" w:rsidRDefault="00F8054C" w:rsidP="00482DEA">
            <w:pPr>
              <w:pStyle w:val="Text"/>
              <w:spacing w:before="0" w:after="0" w:line="276" w:lineRule="auto"/>
              <w:jc w:val="center"/>
              <w:rPr>
                <w:color w:val="auto"/>
                <w:sz w:val="18"/>
                <w:szCs w:val="18"/>
              </w:rPr>
            </w:pPr>
            <w:r>
              <w:rPr>
                <w:color w:val="auto"/>
                <w:sz w:val="18"/>
                <w:szCs w:val="18"/>
              </w:rPr>
              <w:t>u</w:t>
            </w:r>
            <w:r w:rsidRPr="00B066F9">
              <w:rPr>
                <w:color w:val="auto"/>
                <w:sz w:val="18"/>
                <w:szCs w:val="18"/>
              </w:rPr>
              <w:t>ncommon</w:t>
            </w:r>
          </w:p>
        </w:tc>
      </w:tr>
      <w:tr w:rsidR="00F8054C" w:rsidRPr="004564F2" w14:paraId="6C3EFD4E" w14:textId="77777777" w:rsidTr="00F8054C">
        <w:tc>
          <w:tcPr>
            <w:tcW w:w="3614" w:type="dxa"/>
            <w:tcBorders>
              <w:top w:val="nil"/>
              <w:left w:val="single" w:sz="4" w:space="0" w:color="auto"/>
              <w:bottom w:val="single" w:sz="4" w:space="0" w:color="auto"/>
              <w:right w:val="single" w:sz="4" w:space="0" w:color="auto"/>
            </w:tcBorders>
            <w:shd w:val="clear" w:color="auto" w:fill="auto"/>
          </w:tcPr>
          <w:p w14:paraId="088B6BDC" w14:textId="77777777" w:rsidR="00F8054C" w:rsidRDefault="00F8054C" w:rsidP="00482DEA">
            <w:pPr>
              <w:pStyle w:val="Text"/>
              <w:spacing w:before="0" w:after="0" w:line="276" w:lineRule="auto"/>
              <w:rPr>
                <w:noProof/>
                <w:sz w:val="18"/>
                <w:szCs w:val="18"/>
              </w:rPr>
            </w:pPr>
          </w:p>
        </w:tc>
        <w:tc>
          <w:tcPr>
            <w:tcW w:w="2169" w:type="dxa"/>
            <w:tcBorders>
              <w:top w:val="single" w:sz="4" w:space="0" w:color="auto"/>
              <w:left w:val="single" w:sz="4" w:space="0" w:color="auto"/>
              <w:bottom w:val="single" w:sz="4" w:space="0" w:color="auto"/>
              <w:right w:val="single" w:sz="4" w:space="0" w:color="auto"/>
            </w:tcBorders>
            <w:shd w:val="clear" w:color="auto" w:fill="auto"/>
          </w:tcPr>
          <w:p w14:paraId="67B59723" w14:textId="77777777" w:rsidR="00F8054C" w:rsidRPr="00B066F9" w:rsidRDefault="00F8054C" w:rsidP="00482DEA">
            <w:pPr>
              <w:pStyle w:val="Text"/>
              <w:spacing w:before="0" w:after="0" w:line="276" w:lineRule="auto"/>
              <w:jc w:val="left"/>
              <w:rPr>
                <w:sz w:val="18"/>
                <w:szCs w:val="18"/>
                <w:lang w:val="en-US"/>
              </w:rPr>
            </w:pPr>
            <w:r>
              <w:rPr>
                <w:sz w:val="18"/>
                <w:szCs w:val="18"/>
                <w:lang w:val="en-US"/>
              </w:rPr>
              <w:t>h</w:t>
            </w:r>
            <w:r w:rsidRPr="00B066F9">
              <w:rPr>
                <w:sz w:val="18"/>
                <w:szCs w:val="18"/>
                <w:lang w:val="en-US"/>
              </w:rPr>
              <w:t>emoglobin decreased</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3C73FDBC" w14:textId="77777777" w:rsidR="00F8054C" w:rsidRDefault="00F8054C" w:rsidP="00482DEA">
            <w:pPr>
              <w:pStyle w:val="Text"/>
              <w:spacing w:before="0" w:after="0" w:line="276" w:lineRule="auto"/>
              <w:jc w:val="center"/>
              <w:rPr>
                <w:color w:val="auto"/>
                <w:sz w:val="18"/>
                <w:szCs w:val="18"/>
                <w:lang w:val="en-US"/>
              </w:rPr>
            </w:pPr>
            <w:r w:rsidRPr="00B066F9">
              <w:rPr>
                <w:color w:val="auto"/>
                <w:sz w:val="18"/>
                <w:szCs w:val="18"/>
                <w:lang w:val="en-US"/>
              </w:rPr>
              <w:t>uncommon</w:t>
            </w:r>
          </w:p>
        </w:tc>
        <w:tc>
          <w:tcPr>
            <w:tcW w:w="1757" w:type="dxa"/>
            <w:tcBorders>
              <w:top w:val="single" w:sz="4" w:space="0" w:color="auto"/>
              <w:left w:val="single" w:sz="4" w:space="0" w:color="auto"/>
              <w:bottom w:val="single" w:sz="4" w:space="0" w:color="auto"/>
              <w:right w:val="single" w:sz="4" w:space="0" w:color="auto"/>
            </w:tcBorders>
            <w:shd w:val="clear" w:color="auto" w:fill="auto"/>
          </w:tcPr>
          <w:p w14:paraId="48D9F2A8" w14:textId="77777777" w:rsidR="00F8054C" w:rsidRDefault="00F8054C" w:rsidP="00482DEA">
            <w:pPr>
              <w:pStyle w:val="Text"/>
              <w:spacing w:before="0" w:after="0" w:line="276" w:lineRule="auto"/>
              <w:jc w:val="center"/>
              <w:rPr>
                <w:color w:val="auto"/>
                <w:sz w:val="18"/>
                <w:szCs w:val="18"/>
              </w:rPr>
            </w:pPr>
            <w:r w:rsidRPr="00B066F9">
              <w:rPr>
                <w:color w:val="auto"/>
                <w:sz w:val="18"/>
                <w:szCs w:val="18"/>
              </w:rPr>
              <w:t>uncommon</w:t>
            </w:r>
          </w:p>
        </w:tc>
      </w:tr>
    </w:tbl>
    <w:p w14:paraId="47889737" w14:textId="77777777" w:rsidR="00B50CA8" w:rsidRDefault="00B50CA8">
      <w:pPr>
        <w:pStyle w:val="Text"/>
        <w:rPr>
          <w:color w:val="auto"/>
        </w:rPr>
      </w:pPr>
    </w:p>
    <w:p w14:paraId="5E1DF8D0" w14:textId="7C53E4FD" w:rsidR="00D47151" w:rsidRDefault="00B7007C">
      <w:pPr>
        <w:pStyle w:val="Text"/>
        <w:rPr>
          <w:shd w:val="clear" w:color="auto" w:fill="FFFFFF"/>
        </w:rPr>
      </w:pPr>
      <w:r>
        <w:rPr>
          <w:shd w:val="clear" w:color="auto" w:fill="FFFFFF"/>
        </w:rPr>
        <w:t>The following</w:t>
      </w:r>
      <w:r w:rsidR="00F631CB">
        <w:rPr>
          <w:shd w:val="clear" w:color="auto" w:fill="FFFFFF"/>
        </w:rPr>
        <w:t xml:space="preserve"> </w:t>
      </w:r>
      <w:r w:rsidR="00E8387A" w:rsidRPr="00A10CD1">
        <w:rPr>
          <w:shd w:val="clear" w:color="auto" w:fill="FFFFFF"/>
        </w:rPr>
        <w:t xml:space="preserve">reactions have been reported from post-marketing experience with </w:t>
      </w:r>
      <w:proofErr w:type="spellStart"/>
      <w:r w:rsidR="00E8387A" w:rsidRPr="00A10CD1">
        <w:rPr>
          <w:shd w:val="clear" w:color="auto" w:fill="FFFFFF"/>
        </w:rPr>
        <w:t>Octagam</w:t>
      </w:r>
      <w:proofErr w:type="spellEnd"/>
      <w:r w:rsidR="004F250D">
        <w:rPr>
          <w:shd w:val="clear" w:color="auto" w:fill="FFFFFF"/>
        </w:rPr>
        <w:t xml:space="preserve"> 10%</w:t>
      </w:r>
      <w:r w:rsidR="00646A6D">
        <w:rPr>
          <w:shd w:val="clear" w:color="auto" w:fill="FFFFFF"/>
        </w:rPr>
        <w:t>.</w:t>
      </w:r>
    </w:p>
    <w:p w14:paraId="3EDF299D" w14:textId="77777777" w:rsidR="00BD773D" w:rsidRPr="00462135" w:rsidRDefault="00BD773D" w:rsidP="00BD773D">
      <w:pPr>
        <w:pStyle w:val="Text"/>
        <w:rPr>
          <w:shd w:val="clear" w:color="auto" w:fill="FFFFFF"/>
        </w:rPr>
      </w:pPr>
      <w:r w:rsidRPr="00462135">
        <w:rPr>
          <w:shd w:val="clear" w:color="auto" w:fill="FFFFFF"/>
        </w:rPr>
        <w:lastRenderedPageBreak/>
        <w:t xml:space="preserve">Frequencies </w:t>
      </w:r>
      <w:r w:rsidR="00B7007C" w:rsidRPr="00462135">
        <w:rPr>
          <w:shd w:val="clear" w:color="auto" w:fill="FFFFFF"/>
        </w:rPr>
        <w:t xml:space="preserve">for post-marketing reported reactions </w:t>
      </w:r>
      <w:r w:rsidRPr="00462135">
        <w:rPr>
          <w:shd w:val="clear" w:color="auto" w:fill="FFFFFF"/>
        </w:rPr>
        <w:t>cannot be es</w:t>
      </w:r>
      <w:r w:rsidR="00B7007C" w:rsidRPr="00462135">
        <w:rPr>
          <w:shd w:val="clear" w:color="auto" w:fill="FFFFFF"/>
        </w:rPr>
        <w:t>timated from the available data</w:t>
      </w:r>
      <w:r w:rsidRPr="00462135">
        <w:rPr>
          <w:shd w:val="clear" w:color="auto" w:fill="FFFFFF"/>
        </w:rPr>
        <w:t>.</w:t>
      </w:r>
    </w:p>
    <w:tbl>
      <w:tblPr>
        <w:tblW w:w="8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93"/>
        <w:gridCol w:w="3439"/>
        <w:gridCol w:w="1095"/>
      </w:tblGrid>
      <w:tr w:rsidR="00BD773D" w:rsidRPr="004564F2" w14:paraId="7A18E1EE" w14:textId="77777777" w:rsidTr="00BC3C84">
        <w:trPr>
          <w:tblHeader/>
        </w:trPr>
        <w:tc>
          <w:tcPr>
            <w:tcW w:w="4393" w:type="dxa"/>
            <w:tcBorders>
              <w:top w:val="single" w:sz="4" w:space="0" w:color="auto"/>
              <w:left w:val="single" w:sz="4" w:space="0" w:color="auto"/>
              <w:bottom w:val="single" w:sz="4" w:space="0" w:color="auto"/>
              <w:right w:val="single" w:sz="4" w:space="0" w:color="auto"/>
            </w:tcBorders>
            <w:shd w:val="clear" w:color="auto" w:fill="auto"/>
            <w:hideMark/>
          </w:tcPr>
          <w:p w14:paraId="124C5503" w14:textId="77777777" w:rsidR="00BD773D" w:rsidRPr="004564F2" w:rsidRDefault="00BD773D" w:rsidP="00FA5637">
            <w:pPr>
              <w:pStyle w:val="Text"/>
              <w:spacing w:before="60"/>
              <w:rPr>
                <w:b/>
                <w:color w:val="auto"/>
                <w:sz w:val="18"/>
              </w:rPr>
            </w:pPr>
            <w:r w:rsidRPr="004564F2">
              <w:rPr>
                <w:b/>
                <w:color w:val="auto"/>
                <w:sz w:val="18"/>
              </w:rPr>
              <w:t xml:space="preserve">MedDRA </w:t>
            </w:r>
            <w:r w:rsidRPr="008A2429">
              <w:rPr>
                <w:b/>
                <w:color w:val="auto"/>
                <w:sz w:val="18"/>
                <w:lang w:val="en-US"/>
              </w:rPr>
              <w:t>System Organ Classification (SOC) according to the sequence:</w:t>
            </w:r>
          </w:p>
        </w:tc>
        <w:tc>
          <w:tcPr>
            <w:tcW w:w="3439" w:type="dxa"/>
            <w:tcBorders>
              <w:top w:val="single" w:sz="4" w:space="0" w:color="auto"/>
              <w:left w:val="single" w:sz="4" w:space="0" w:color="auto"/>
              <w:bottom w:val="single" w:sz="4" w:space="0" w:color="auto"/>
              <w:right w:val="single" w:sz="4" w:space="0" w:color="auto"/>
            </w:tcBorders>
            <w:shd w:val="clear" w:color="auto" w:fill="auto"/>
            <w:hideMark/>
          </w:tcPr>
          <w:p w14:paraId="156619ED" w14:textId="77777777" w:rsidR="00BD773D" w:rsidRPr="004564F2" w:rsidRDefault="00BD773D" w:rsidP="00FA5637">
            <w:pPr>
              <w:pStyle w:val="Text"/>
              <w:spacing w:before="60"/>
              <w:jc w:val="center"/>
              <w:rPr>
                <w:b/>
                <w:color w:val="auto"/>
                <w:sz w:val="18"/>
              </w:rPr>
            </w:pPr>
            <w:r w:rsidRPr="004564F2">
              <w:rPr>
                <w:b/>
                <w:color w:val="auto"/>
                <w:sz w:val="18"/>
                <w:lang w:val="en-AU"/>
              </w:rPr>
              <w:t>Adverse Reaction (Preferred Term Level)</w:t>
            </w:r>
          </w:p>
        </w:tc>
        <w:tc>
          <w:tcPr>
            <w:tcW w:w="1095" w:type="dxa"/>
            <w:tcBorders>
              <w:top w:val="single" w:sz="4" w:space="0" w:color="auto"/>
              <w:left w:val="single" w:sz="4" w:space="0" w:color="auto"/>
              <w:bottom w:val="single" w:sz="4" w:space="0" w:color="auto"/>
              <w:right w:val="single" w:sz="4" w:space="0" w:color="auto"/>
            </w:tcBorders>
            <w:shd w:val="clear" w:color="auto" w:fill="auto"/>
            <w:hideMark/>
          </w:tcPr>
          <w:p w14:paraId="08FD57AB" w14:textId="77777777" w:rsidR="00BD773D" w:rsidRPr="00BB36FB" w:rsidRDefault="00BD773D" w:rsidP="00BB36FB">
            <w:pPr>
              <w:pStyle w:val="Text"/>
              <w:spacing w:before="60"/>
              <w:jc w:val="center"/>
              <w:rPr>
                <w:b/>
                <w:color w:val="auto"/>
                <w:sz w:val="18"/>
              </w:rPr>
            </w:pPr>
            <w:r w:rsidRPr="00BB36FB">
              <w:rPr>
                <w:b/>
                <w:color w:val="auto"/>
                <w:sz w:val="18"/>
              </w:rPr>
              <w:t xml:space="preserve">Frequency </w:t>
            </w:r>
          </w:p>
        </w:tc>
      </w:tr>
      <w:tr w:rsidR="00BD773D" w:rsidRPr="004564F2" w14:paraId="5C66E523"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27A06B1D" w14:textId="77777777" w:rsidR="00BD773D" w:rsidRPr="004564F2" w:rsidRDefault="00BD773D" w:rsidP="00FA5637">
            <w:pPr>
              <w:pStyle w:val="Text"/>
              <w:spacing w:before="0" w:after="0" w:line="276" w:lineRule="auto"/>
              <w:rPr>
                <w:b/>
                <w:color w:val="auto"/>
                <w:sz w:val="18"/>
                <w:szCs w:val="18"/>
              </w:rPr>
            </w:pPr>
            <w:r w:rsidRPr="004564F2">
              <w:rPr>
                <w:noProof/>
                <w:sz w:val="18"/>
                <w:szCs w:val="18"/>
              </w:rPr>
              <w:t>Blood and lymphatic system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5039F08E" w14:textId="77777777" w:rsidR="00BD773D" w:rsidRPr="00666DEE" w:rsidRDefault="00EA5DF0" w:rsidP="00FA5637">
            <w:pPr>
              <w:pStyle w:val="Text"/>
              <w:spacing w:before="0" w:after="0" w:line="276" w:lineRule="auto"/>
              <w:jc w:val="left"/>
              <w:rPr>
                <w:sz w:val="18"/>
                <w:szCs w:val="18"/>
              </w:rPr>
            </w:pPr>
            <w:r>
              <w:rPr>
                <w:sz w:val="18"/>
                <w:szCs w:val="18"/>
              </w:rPr>
              <w:t>haemolytic anaemia</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9CE5A31" w14:textId="77777777" w:rsidR="00BB36FB" w:rsidRPr="00BB36FB" w:rsidRDefault="00036817" w:rsidP="00EA5DF0">
            <w:pPr>
              <w:pStyle w:val="Text"/>
              <w:spacing w:before="0" w:after="0" w:line="276" w:lineRule="auto"/>
              <w:jc w:val="center"/>
              <w:rPr>
                <w:color w:val="auto"/>
                <w:sz w:val="18"/>
                <w:szCs w:val="18"/>
              </w:rPr>
            </w:pPr>
            <w:r w:rsidRPr="00036817">
              <w:rPr>
                <w:color w:val="auto"/>
                <w:sz w:val="18"/>
                <w:szCs w:val="18"/>
              </w:rPr>
              <w:t>not known</w:t>
            </w:r>
            <w:r w:rsidR="00BB36FB" w:rsidRPr="00BB36FB">
              <w:rPr>
                <w:color w:val="auto"/>
                <w:sz w:val="18"/>
                <w:szCs w:val="18"/>
              </w:rPr>
              <w:t xml:space="preserve"> </w:t>
            </w:r>
          </w:p>
        </w:tc>
      </w:tr>
      <w:tr w:rsidR="00BD773D" w:rsidRPr="004564F2" w14:paraId="44C20C7D"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727159A9" w14:textId="77777777" w:rsidR="00BD773D" w:rsidRPr="004564F2" w:rsidRDefault="00BD773D" w:rsidP="00FA5637">
            <w:pPr>
              <w:pStyle w:val="Text"/>
              <w:spacing w:before="0" w:after="0" w:line="276" w:lineRule="auto"/>
              <w:rPr>
                <w:b/>
                <w:color w:val="auto"/>
                <w:sz w:val="18"/>
                <w:szCs w:val="18"/>
              </w:rPr>
            </w:pPr>
            <w:r w:rsidRPr="004564F2">
              <w:rPr>
                <w:noProof/>
                <w:sz w:val="18"/>
                <w:szCs w:val="18"/>
              </w:rPr>
              <w:t>Immune system disorders (see section 4.4)</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0189A275" w14:textId="77777777" w:rsidR="00BD773D" w:rsidRPr="00666DEE" w:rsidRDefault="00BD773D" w:rsidP="00FA5637">
            <w:pPr>
              <w:pStyle w:val="Text"/>
              <w:spacing w:before="0" w:after="0" w:line="276" w:lineRule="auto"/>
              <w:jc w:val="left"/>
              <w:rPr>
                <w:b/>
                <w:color w:val="auto"/>
                <w:sz w:val="18"/>
                <w:szCs w:val="18"/>
                <w:lang w:val="en-AU"/>
              </w:rPr>
            </w:pPr>
            <w:r w:rsidRPr="00666DEE">
              <w:rPr>
                <w:sz w:val="18"/>
                <w:szCs w:val="18"/>
              </w:rPr>
              <w:t>anaphylactic shock;</w:t>
            </w:r>
            <w:r w:rsidRPr="00666DEE">
              <w:rPr>
                <w:sz w:val="18"/>
                <w:szCs w:val="18"/>
              </w:rPr>
              <w:br/>
              <w:t>anaphylactic reaction;</w:t>
            </w:r>
            <w:r w:rsidRPr="00666DEE">
              <w:rPr>
                <w:sz w:val="18"/>
                <w:szCs w:val="18"/>
              </w:rPr>
              <w:br/>
              <w:t>anaphylactoid reaction;</w:t>
            </w:r>
            <w:r w:rsidRPr="00666DEE">
              <w:rPr>
                <w:sz w:val="18"/>
                <w:szCs w:val="18"/>
              </w:rPr>
              <w:br/>
              <w:t>angioedema;</w:t>
            </w:r>
            <w:r w:rsidRPr="00666DEE">
              <w:rPr>
                <w:sz w:val="18"/>
                <w:szCs w:val="18"/>
              </w:rPr>
              <w:br/>
              <w:t>face oedema</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182A11F0"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20FED6D8"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B84D35A"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1AD12B3"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7B34DF2"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4734F37F"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6365ED80" w14:textId="77777777" w:rsidR="00BD773D" w:rsidRPr="004564F2" w:rsidRDefault="00BD773D" w:rsidP="00FA5637">
            <w:pPr>
              <w:pStyle w:val="Text"/>
              <w:spacing w:before="0" w:after="0" w:line="276" w:lineRule="auto"/>
              <w:rPr>
                <w:b/>
                <w:color w:val="auto"/>
                <w:sz w:val="18"/>
                <w:szCs w:val="18"/>
              </w:rPr>
            </w:pPr>
            <w:r w:rsidRPr="004564F2">
              <w:rPr>
                <w:noProof/>
                <w:sz w:val="18"/>
                <w:szCs w:val="18"/>
                <w:lang w:val="fr-FR"/>
              </w:rPr>
              <w:t>Metabolic and nutritional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58553C63" w14:textId="77777777" w:rsidR="00BD773D" w:rsidRPr="00666DEE" w:rsidRDefault="00BD773D" w:rsidP="00FA5637">
            <w:pPr>
              <w:pStyle w:val="Text"/>
              <w:spacing w:before="0" w:after="0" w:line="276" w:lineRule="auto"/>
              <w:jc w:val="left"/>
              <w:rPr>
                <w:b/>
                <w:color w:val="auto"/>
                <w:sz w:val="18"/>
                <w:szCs w:val="18"/>
                <w:lang w:val="en-AU"/>
              </w:rPr>
            </w:pPr>
            <w:proofErr w:type="spellStart"/>
            <w:proofErr w:type="gramStart"/>
            <w:r w:rsidRPr="00666DEE">
              <w:rPr>
                <w:sz w:val="18"/>
                <w:szCs w:val="18"/>
                <w:lang w:val="fr-FR"/>
              </w:rPr>
              <w:t>fluid</w:t>
            </w:r>
            <w:proofErr w:type="spellEnd"/>
            <w:proofErr w:type="gramEnd"/>
            <w:r w:rsidRPr="00666DEE">
              <w:rPr>
                <w:sz w:val="18"/>
                <w:szCs w:val="18"/>
                <w:lang w:val="fr-FR"/>
              </w:rPr>
              <w:t xml:space="preserve"> </w:t>
            </w:r>
            <w:proofErr w:type="spellStart"/>
            <w:r w:rsidRPr="00666DEE">
              <w:rPr>
                <w:sz w:val="18"/>
                <w:szCs w:val="18"/>
                <w:lang w:val="fr-FR"/>
              </w:rPr>
              <w:t>overload</w:t>
            </w:r>
            <w:proofErr w:type="spellEnd"/>
            <w:r w:rsidRPr="00666DEE">
              <w:rPr>
                <w:sz w:val="18"/>
                <w:szCs w:val="18"/>
              </w:rPr>
              <w:br/>
            </w:r>
            <w:r w:rsidRPr="00666DEE">
              <w:rPr>
                <w:sz w:val="18"/>
                <w:szCs w:val="18"/>
                <w:lang w:val="fr-FR"/>
              </w:rPr>
              <w:t>(pseudo)</w:t>
            </w:r>
            <w:proofErr w:type="spellStart"/>
            <w:r w:rsidRPr="00666DEE">
              <w:rPr>
                <w:sz w:val="18"/>
                <w:szCs w:val="18"/>
                <w:lang w:val="fr-FR"/>
              </w:rPr>
              <w:t>hyponatraemia</w:t>
            </w:r>
            <w:proofErr w:type="spellEnd"/>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8FA8997"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1E7D47B7"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497B1E05"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556E3BEE" w14:textId="77777777" w:rsidR="00BD773D" w:rsidRPr="004564F2" w:rsidRDefault="00BD773D" w:rsidP="00FA5637">
            <w:pPr>
              <w:pStyle w:val="Text"/>
              <w:spacing w:before="0" w:after="0" w:line="276" w:lineRule="auto"/>
              <w:rPr>
                <w:noProof/>
                <w:sz w:val="18"/>
                <w:szCs w:val="18"/>
                <w:lang w:val="fr-FR"/>
              </w:rPr>
            </w:pPr>
            <w:r w:rsidRPr="004564F2">
              <w:rPr>
                <w:noProof/>
                <w:sz w:val="18"/>
                <w:szCs w:val="18"/>
                <w:lang w:val="fr-FR"/>
              </w:rPr>
              <w:t>Psychiatric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00FE0FC7" w14:textId="77777777" w:rsidR="00BD773D" w:rsidRPr="00666DEE" w:rsidRDefault="00BD773D" w:rsidP="00FA5637">
            <w:pPr>
              <w:pStyle w:val="Text"/>
              <w:spacing w:before="0" w:after="0" w:line="276" w:lineRule="auto"/>
              <w:jc w:val="left"/>
              <w:rPr>
                <w:sz w:val="18"/>
                <w:szCs w:val="18"/>
                <w:lang w:val="en-US"/>
              </w:rPr>
            </w:pPr>
            <w:proofErr w:type="spellStart"/>
            <w:r w:rsidRPr="00666DEE">
              <w:rPr>
                <w:sz w:val="18"/>
                <w:szCs w:val="18"/>
                <w:lang w:val="en-US"/>
              </w:rPr>
              <w:t>confusional</w:t>
            </w:r>
            <w:proofErr w:type="spellEnd"/>
            <w:r w:rsidRPr="00666DEE">
              <w:rPr>
                <w:sz w:val="18"/>
                <w:szCs w:val="18"/>
                <w:lang w:val="en-US"/>
              </w:rPr>
              <w:t xml:space="preserve"> state</w:t>
            </w:r>
            <w:r w:rsidRPr="00666DEE">
              <w:rPr>
                <w:sz w:val="18"/>
                <w:szCs w:val="18"/>
                <w:lang w:val="en-US"/>
              </w:rPr>
              <w:br/>
              <w:t>agitation</w:t>
            </w:r>
            <w:r w:rsidRPr="00666DEE">
              <w:rPr>
                <w:sz w:val="18"/>
                <w:szCs w:val="18"/>
                <w:lang w:val="en-US"/>
              </w:rPr>
              <w:br/>
              <w:t>anxiety</w:t>
            </w:r>
            <w:r w:rsidRPr="00666DEE">
              <w:rPr>
                <w:sz w:val="18"/>
                <w:szCs w:val="18"/>
                <w:lang w:val="en-US"/>
              </w:rPr>
              <w:br/>
              <w:t>nervousness</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2DAFF181"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51D09BC9"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AF53CA8"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3D24D7E4"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33EAE627"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133B77A4" w14:textId="77777777" w:rsidR="00BD773D" w:rsidRPr="004564F2" w:rsidRDefault="00BD773D" w:rsidP="00FA5637">
            <w:pPr>
              <w:pStyle w:val="Text"/>
              <w:spacing w:before="0" w:after="0" w:line="276" w:lineRule="auto"/>
              <w:rPr>
                <w:noProof/>
                <w:sz w:val="18"/>
                <w:szCs w:val="18"/>
                <w:lang w:val="fr-FR"/>
              </w:rPr>
            </w:pPr>
            <w:r w:rsidRPr="004564F2">
              <w:rPr>
                <w:noProof/>
                <w:sz w:val="18"/>
                <w:szCs w:val="18"/>
                <w:lang w:val="de-DE"/>
              </w:rPr>
              <w:t>Nervous system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6B698F8A" w14:textId="77777777" w:rsidR="00BD773D" w:rsidRPr="00F91455" w:rsidRDefault="00BD773D" w:rsidP="00F91455">
            <w:pPr>
              <w:pStyle w:val="Text"/>
              <w:spacing w:before="0" w:after="0" w:line="276" w:lineRule="auto"/>
              <w:jc w:val="left"/>
              <w:rPr>
                <w:sz w:val="18"/>
                <w:szCs w:val="18"/>
                <w:lang w:val="en-US"/>
              </w:rPr>
            </w:pPr>
            <w:r w:rsidRPr="00666DEE">
              <w:rPr>
                <w:sz w:val="18"/>
                <w:szCs w:val="18"/>
                <w:lang w:val="en-US"/>
              </w:rPr>
              <w:t xml:space="preserve">meningitis aseptic; </w:t>
            </w:r>
            <w:r w:rsidRPr="00666DEE">
              <w:rPr>
                <w:sz w:val="18"/>
                <w:szCs w:val="18"/>
                <w:lang w:val="en-US"/>
              </w:rPr>
              <w:br/>
              <w:t>loss of consciousness;</w:t>
            </w:r>
            <w:r w:rsidRPr="00666DEE">
              <w:rPr>
                <w:sz w:val="18"/>
                <w:szCs w:val="18"/>
                <w:lang w:val="en-US"/>
              </w:rPr>
              <w:br/>
              <w:t>speech disorder;</w:t>
            </w:r>
            <w:r w:rsidRPr="00666DEE">
              <w:rPr>
                <w:sz w:val="18"/>
                <w:szCs w:val="18"/>
                <w:lang w:val="en-US"/>
              </w:rPr>
              <w:br/>
              <w:t>migraine;</w:t>
            </w:r>
            <w:r w:rsidRPr="00666DEE">
              <w:rPr>
                <w:sz w:val="18"/>
                <w:szCs w:val="18"/>
                <w:lang w:val="en-US"/>
              </w:rPr>
              <w:br/>
              <w:t>photophobia;</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4BB48D7B"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8A47455"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080FDA1E"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32F6054"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2B8F4F88" w14:textId="77777777" w:rsidR="00036817" w:rsidRPr="00BB36FB" w:rsidRDefault="00036817" w:rsidP="00F91455">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0C814D49"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558C4686" w14:textId="77777777" w:rsidR="00BD773D" w:rsidRPr="004564F2" w:rsidRDefault="00BD773D" w:rsidP="00FA5637">
            <w:pPr>
              <w:pStyle w:val="Text"/>
              <w:spacing w:before="0" w:after="0" w:line="276" w:lineRule="auto"/>
              <w:rPr>
                <w:noProof/>
                <w:sz w:val="18"/>
                <w:szCs w:val="18"/>
                <w:lang w:val="de-DE"/>
              </w:rPr>
            </w:pPr>
            <w:r w:rsidRPr="004564F2">
              <w:rPr>
                <w:noProof/>
                <w:sz w:val="18"/>
                <w:szCs w:val="18"/>
              </w:rPr>
              <w:t>Eye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017A7327" w14:textId="77777777" w:rsidR="00BD773D" w:rsidRPr="00666DEE" w:rsidRDefault="00BD773D" w:rsidP="00FA5637">
            <w:pPr>
              <w:pStyle w:val="Text"/>
              <w:spacing w:before="0" w:after="0" w:line="276" w:lineRule="auto"/>
              <w:jc w:val="left"/>
              <w:rPr>
                <w:sz w:val="18"/>
                <w:szCs w:val="18"/>
                <w:lang w:val="en-US"/>
              </w:rPr>
            </w:pPr>
            <w:r w:rsidRPr="00666DEE">
              <w:rPr>
                <w:sz w:val="18"/>
                <w:szCs w:val="18"/>
                <w:lang w:val="en-US"/>
              </w:rPr>
              <w:t>visual impairment</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1A044EE" w14:textId="77777777" w:rsidR="00BD773D"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28D53F5F"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577E9AE5" w14:textId="77777777" w:rsidR="00BD773D" w:rsidRPr="004564F2" w:rsidRDefault="00BD773D" w:rsidP="00FA5637">
            <w:pPr>
              <w:pStyle w:val="Text"/>
              <w:spacing w:before="0" w:after="0" w:line="276" w:lineRule="auto"/>
              <w:rPr>
                <w:noProof/>
                <w:sz w:val="18"/>
                <w:szCs w:val="18"/>
                <w:lang w:val="de-DE"/>
              </w:rPr>
            </w:pPr>
            <w:r w:rsidRPr="004564F2">
              <w:rPr>
                <w:noProof/>
                <w:sz w:val="18"/>
                <w:szCs w:val="18"/>
                <w:lang w:val="de-DE"/>
              </w:rPr>
              <w:t>Cardiac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2F0937EE" w14:textId="77777777" w:rsidR="00BD773D" w:rsidRPr="00666DEE" w:rsidRDefault="00BD773D" w:rsidP="000C321F">
            <w:pPr>
              <w:pStyle w:val="Text"/>
              <w:spacing w:before="0" w:after="0" w:line="276" w:lineRule="auto"/>
              <w:jc w:val="left"/>
              <w:rPr>
                <w:sz w:val="18"/>
                <w:szCs w:val="18"/>
                <w:lang w:val="en-US"/>
              </w:rPr>
            </w:pPr>
            <w:r w:rsidRPr="00666DEE">
              <w:rPr>
                <w:sz w:val="18"/>
                <w:szCs w:val="18"/>
                <w:lang w:val="en-US"/>
              </w:rPr>
              <w:t>myocardial infarction (see 4.4);</w:t>
            </w:r>
            <w:r w:rsidRPr="00666DEE">
              <w:rPr>
                <w:sz w:val="18"/>
                <w:szCs w:val="18"/>
                <w:lang w:val="en-US"/>
              </w:rPr>
              <w:br/>
              <w:t>angina pectoris;</w:t>
            </w:r>
            <w:r w:rsidRPr="00666DEE">
              <w:rPr>
                <w:sz w:val="18"/>
                <w:szCs w:val="18"/>
                <w:lang w:val="en-US"/>
              </w:rPr>
              <w:br/>
              <w:t>bradycardia;</w:t>
            </w:r>
            <w:r w:rsidRPr="00666DEE">
              <w:rPr>
                <w:sz w:val="18"/>
                <w:szCs w:val="18"/>
                <w:lang w:val="en-US"/>
              </w:rPr>
              <w:br/>
              <w:t>palpitations;</w:t>
            </w:r>
            <w:r w:rsidRPr="00666DEE">
              <w:rPr>
                <w:sz w:val="18"/>
                <w:szCs w:val="18"/>
                <w:lang w:val="en-US"/>
              </w:rPr>
              <w:br/>
              <w:t>cyanosis</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0FB37F27"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7421BEE6"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DA5858D"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2013FC6"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4F868B1"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5787A755"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17ECD6A9" w14:textId="77777777" w:rsidR="00BD773D" w:rsidRPr="004564F2" w:rsidRDefault="00BD773D" w:rsidP="00FA5637">
            <w:pPr>
              <w:pStyle w:val="Text"/>
              <w:spacing w:before="0" w:after="0" w:line="276" w:lineRule="auto"/>
              <w:rPr>
                <w:noProof/>
                <w:sz w:val="18"/>
                <w:szCs w:val="18"/>
                <w:lang w:val="de-DE"/>
              </w:rPr>
            </w:pPr>
            <w:r w:rsidRPr="004564F2">
              <w:rPr>
                <w:noProof/>
                <w:sz w:val="18"/>
                <w:szCs w:val="18"/>
              </w:rPr>
              <w:t>Vascular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73F3DF3E" w14:textId="77777777" w:rsidR="00BD773D" w:rsidRPr="00666DEE" w:rsidRDefault="00BD773D" w:rsidP="000C321F">
            <w:pPr>
              <w:pStyle w:val="Text"/>
              <w:spacing w:before="0" w:after="0" w:line="276" w:lineRule="auto"/>
              <w:jc w:val="left"/>
              <w:rPr>
                <w:sz w:val="18"/>
                <w:szCs w:val="18"/>
                <w:lang w:val="en-US"/>
              </w:rPr>
            </w:pPr>
            <w:r w:rsidRPr="00666DEE">
              <w:rPr>
                <w:sz w:val="18"/>
                <w:szCs w:val="18"/>
              </w:rPr>
              <w:t>circulatory collapse;</w:t>
            </w:r>
            <w:r w:rsidRPr="00666DEE">
              <w:rPr>
                <w:sz w:val="18"/>
                <w:szCs w:val="18"/>
              </w:rPr>
              <w:br/>
              <w:t>peripheral circulatory failure;</w:t>
            </w:r>
            <w:r w:rsidRPr="00666DEE">
              <w:rPr>
                <w:sz w:val="18"/>
                <w:szCs w:val="18"/>
              </w:rPr>
              <w:br/>
              <w:t>phlebitis;</w:t>
            </w:r>
            <w:r w:rsidRPr="00666DEE">
              <w:rPr>
                <w:sz w:val="18"/>
                <w:szCs w:val="18"/>
              </w:rPr>
              <w:br/>
              <w:t>hypotension;</w:t>
            </w:r>
            <w:r w:rsidRPr="00666DEE">
              <w:rPr>
                <w:sz w:val="18"/>
                <w:szCs w:val="18"/>
              </w:rPr>
              <w:br/>
              <w:t>pallor</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DC84329"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36C55CA1"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C7F5325"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BA5974B"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2AAA04D2"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5DEA1D7D"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0A2B46D1" w14:textId="77777777" w:rsidR="00BD773D" w:rsidRPr="004564F2" w:rsidRDefault="00BD773D" w:rsidP="00FA5637">
            <w:pPr>
              <w:pStyle w:val="Text"/>
              <w:spacing w:before="0" w:after="0" w:line="276" w:lineRule="auto"/>
              <w:rPr>
                <w:noProof/>
                <w:sz w:val="18"/>
                <w:szCs w:val="18"/>
                <w:lang w:val="en-AU"/>
              </w:rPr>
            </w:pPr>
            <w:r w:rsidRPr="004564F2">
              <w:rPr>
                <w:noProof/>
                <w:sz w:val="18"/>
                <w:szCs w:val="18"/>
              </w:rPr>
              <w:t>Respiratory, thoracic and mediastinal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394878B9" w14:textId="77777777" w:rsidR="00BD773D" w:rsidRPr="00666DEE" w:rsidRDefault="00BD773D" w:rsidP="00FA5637">
            <w:pPr>
              <w:pStyle w:val="Text"/>
              <w:spacing w:before="0" w:after="0" w:line="276" w:lineRule="auto"/>
              <w:jc w:val="left"/>
              <w:rPr>
                <w:sz w:val="18"/>
                <w:szCs w:val="18"/>
              </w:rPr>
            </w:pPr>
            <w:r w:rsidRPr="00666DEE">
              <w:rPr>
                <w:sz w:val="18"/>
                <w:szCs w:val="18"/>
              </w:rPr>
              <w:t>respiratory failure;</w:t>
            </w:r>
            <w:r w:rsidRPr="00666DEE">
              <w:rPr>
                <w:sz w:val="18"/>
                <w:szCs w:val="18"/>
              </w:rPr>
              <w:br/>
              <w:t>pulmonary oedema;</w:t>
            </w:r>
            <w:r w:rsidRPr="00666DEE">
              <w:rPr>
                <w:sz w:val="18"/>
                <w:szCs w:val="18"/>
              </w:rPr>
              <w:br/>
              <w:t>bronchospasm;</w:t>
            </w:r>
            <w:r w:rsidRPr="00666DEE">
              <w:rPr>
                <w:sz w:val="18"/>
                <w:szCs w:val="18"/>
              </w:rPr>
              <w:br/>
            </w:r>
            <w:proofErr w:type="gramStart"/>
            <w:r w:rsidRPr="00666DEE">
              <w:rPr>
                <w:sz w:val="18"/>
                <w:szCs w:val="18"/>
              </w:rPr>
              <w:t>hypoxia;</w:t>
            </w:r>
            <w:proofErr w:type="gramEnd"/>
            <w:r w:rsidRPr="00666DEE">
              <w:rPr>
                <w:sz w:val="18"/>
                <w:szCs w:val="18"/>
              </w:rPr>
              <w:t xml:space="preserve"> </w:t>
            </w:r>
          </w:p>
          <w:p w14:paraId="2C4C1EE9" w14:textId="77777777" w:rsidR="00BD773D" w:rsidRPr="00666DEE" w:rsidRDefault="00BD773D" w:rsidP="00FA5637">
            <w:pPr>
              <w:pStyle w:val="Text"/>
              <w:spacing w:before="0" w:after="0" w:line="276" w:lineRule="auto"/>
              <w:jc w:val="left"/>
              <w:rPr>
                <w:sz w:val="18"/>
                <w:szCs w:val="18"/>
                <w:lang w:val="en-US"/>
              </w:rPr>
            </w:pPr>
            <w:r w:rsidRPr="00666DEE">
              <w:rPr>
                <w:sz w:val="18"/>
                <w:szCs w:val="18"/>
              </w:rPr>
              <w:t>cough</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F4A91FA"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ACF3302"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29E4B210"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58FDDAA"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3B379208"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0ED3374D"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797A236B" w14:textId="77777777" w:rsidR="00BD773D" w:rsidRPr="004564F2" w:rsidRDefault="00BD773D" w:rsidP="00FA5637">
            <w:pPr>
              <w:pStyle w:val="Text"/>
              <w:spacing w:before="0" w:after="0" w:line="276" w:lineRule="auto"/>
              <w:rPr>
                <w:noProof/>
                <w:sz w:val="18"/>
                <w:szCs w:val="18"/>
              </w:rPr>
            </w:pPr>
            <w:r w:rsidRPr="004564F2">
              <w:rPr>
                <w:noProof/>
                <w:sz w:val="18"/>
                <w:szCs w:val="18"/>
              </w:rPr>
              <w:t>Gastrointestinal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5DADA5FF" w14:textId="77777777" w:rsidR="00BD773D" w:rsidRPr="00666DEE" w:rsidRDefault="00BD773D" w:rsidP="00FA5637">
            <w:pPr>
              <w:pStyle w:val="Text"/>
              <w:spacing w:before="0" w:after="0" w:line="276" w:lineRule="auto"/>
              <w:jc w:val="left"/>
              <w:rPr>
                <w:sz w:val="18"/>
                <w:szCs w:val="18"/>
              </w:rPr>
            </w:pPr>
            <w:r w:rsidRPr="00666DEE">
              <w:rPr>
                <w:sz w:val="18"/>
                <w:szCs w:val="18"/>
              </w:rPr>
              <w:t>diarrhoea;</w:t>
            </w:r>
            <w:r w:rsidRPr="00666DEE">
              <w:rPr>
                <w:sz w:val="18"/>
                <w:szCs w:val="18"/>
              </w:rPr>
              <w:br/>
              <w:t>abdominal pain</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9C617A7"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F8650B6"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47EF9ADC"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57FD4F13" w14:textId="77777777" w:rsidR="00BD773D" w:rsidRPr="004564F2" w:rsidRDefault="00BD773D" w:rsidP="00FA5637">
            <w:pPr>
              <w:pStyle w:val="Text"/>
              <w:spacing w:before="0" w:after="0" w:line="276" w:lineRule="auto"/>
              <w:rPr>
                <w:noProof/>
                <w:sz w:val="18"/>
                <w:szCs w:val="18"/>
              </w:rPr>
            </w:pPr>
            <w:r w:rsidRPr="004564F2">
              <w:rPr>
                <w:noProof/>
                <w:sz w:val="18"/>
                <w:szCs w:val="18"/>
              </w:rPr>
              <w:t>Skin and subcutaneous tissue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2BCF7E65" w14:textId="77777777" w:rsidR="00BD773D" w:rsidRPr="00666DEE" w:rsidRDefault="00BD773D" w:rsidP="00FA5637">
            <w:pPr>
              <w:pStyle w:val="Text"/>
              <w:spacing w:before="0" w:after="0" w:line="276" w:lineRule="auto"/>
              <w:jc w:val="left"/>
              <w:rPr>
                <w:sz w:val="18"/>
                <w:szCs w:val="18"/>
              </w:rPr>
            </w:pPr>
            <w:r w:rsidRPr="00666DEE">
              <w:rPr>
                <w:sz w:val="18"/>
                <w:szCs w:val="18"/>
              </w:rPr>
              <w:t>skin exfoliation;</w:t>
            </w:r>
            <w:r w:rsidRPr="00666DEE">
              <w:rPr>
                <w:sz w:val="18"/>
                <w:szCs w:val="18"/>
              </w:rPr>
              <w:br/>
              <w:t>urticaria;</w:t>
            </w:r>
            <w:r w:rsidRPr="00666DEE">
              <w:rPr>
                <w:sz w:val="18"/>
                <w:szCs w:val="18"/>
              </w:rPr>
              <w:br/>
              <w:t>rash;</w:t>
            </w:r>
            <w:r w:rsidRPr="00666DEE">
              <w:rPr>
                <w:sz w:val="18"/>
                <w:szCs w:val="18"/>
              </w:rPr>
              <w:br/>
              <w:t>rash erythematous;</w:t>
            </w:r>
            <w:r w:rsidRPr="00666DEE">
              <w:rPr>
                <w:sz w:val="18"/>
                <w:szCs w:val="18"/>
              </w:rPr>
              <w:br/>
              <w:t>dermatitis;</w:t>
            </w:r>
            <w:r w:rsidRPr="00666DEE">
              <w:rPr>
                <w:sz w:val="18"/>
                <w:szCs w:val="18"/>
              </w:rPr>
              <w:br/>
              <w:t>pruritus;</w:t>
            </w:r>
            <w:r w:rsidRPr="00666DEE">
              <w:rPr>
                <w:sz w:val="18"/>
                <w:szCs w:val="18"/>
              </w:rPr>
              <w:br/>
              <w:t>alopecia</w:t>
            </w:r>
            <w:r w:rsidRPr="00666DEE">
              <w:rPr>
                <w:sz w:val="18"/>
                <w:szCs w:val="18"/>
              </w:rPr>
              <w:br/>
              <w:t>erythema</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5230B125"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3108CB15"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3963BB06"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420A9937"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2BA4AA20"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71F4A9D"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367E63B2"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29C36467"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4AB0FEBF"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4E14C2C9" w14:textId="77777777" w:rsidR="00BD773D" w:rsidRPr="004564F2" w:rsidRDefault="00BD773D" w:rsidP="00FA5637">
            <w:pPr>
              <w:pStyle w:val="Text"/>
              <w:spacing w:before="0" w:after="0" w:line="276" w:lineRule="auto"/>
              <w:rPr>
                <w:noProof/>
                <w:sz w:val="18"/>
                <w:szCs w:val="18"/>
              </w:rPr>
            </w:pPr>
            <w:r w:rsidRPr="004564F2">
              <w:rPr>
                <w:noProof/>
                <w:sz w:val="18"/>
                <w:szCs w:val="18"/>
              </w:rPr>
              <w:t>Musculoskeletal and connective tissue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0D818332" w14:textId="77777777" w:rsidR="00BD773D" w:rsidRPr="00666DEE" w:rsidRDefault="00BD773D" w:rsidP="00FA5637">
            <w:pPr>
              <w:pStyle w:val="Text"/>
              <w:spacing w:before="0" w:after="0" w:line="276" w:lineRule="auto"/>
              <w:jc w:val="left"/>
              <w:rPr>
                <w:sz w:val="18"/>
                <w:szCs w:val="18"/>
              </w:rPr>
            </w:pPr>
            <w:r w:rsidRPr="00666DEE">
              <w:rPr>
                <w:sz w:val="18"/>
                <w:szCs w:val="18"/>
              </w:rPr>
              <w:t>neck pain;</w:t>
            </w:r>
            <w:r w:rsidRPr="00666DEE">
              <w:rPr>
                <w:sz w:val="18"/>
                <w:szCs w:val="18"/>
              </w:rPr>
              <w:br/>
              <w:t>muscular weakness;</w:t>
            </w:r>
            <w:r w:rsidRPr="00666DEE">
              <w:rPr>
                <w:sz w:val="18"/>
                <w:szCs w:val="18"/>
              </w:rPr>
              <w:br/>
              <w:t>musculoskeletal stiffness</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C92D767"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685E53C5" w14:textId="77777777" w:rsidR="00036817"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05C0A61B"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3F9B81FB"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0329D449" w14:textId="77777777" w:rsidR="00BD773D" w:rsidRPr="004564F2" w:rsidRDefault="00BD773D" w:rsidP="00FA5637">
            <w:pPr>
              <w:pStyle w:val="Text"/>
              <w:spacing w:before="0" w:after="0" w:line="276" w:lineRule="auto"/>
              <w:rPr>
                <w:noProof/>
                <w:sz w:val="18"/>
                <w:szCs w:val="18"/>
              </w:rPr>
            </w:pPr>
            <w:r w:rsidRPr="004564F2">
              <w:rPr>
                <w:noProof/>
                <w:sz w:val="18"/>
                <w:szCs w:val="18"/>
              </w:rPr>
              <w:t>Renal and urinary disorders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76C1A166" w14:textId="77777777" w:rsidR="00BD773D" w:rsidRPr="00666DEE" w:rsidRDefault="00BD773D" w:rsidP="00FA5637">
            <w:pPr>
              <w:pStyle w:val="Text"/>
              <w:spacing w:before="0" w:after="0" w:line="276" w:lineRule="auto"/>
              <w:jc w:val="left"/>
              <w:rPr>
                <w:sz w:val="18"/>
                <w:szCs w:val="18"/>
              </w:rPr>
            </w:pPr>
            <w:proofErr w:type="spellStart"/>
            <w:proofErr w:type="gramStart"/>
            <w:r w:rsidRPr="00666DEE">
              <w:rPr>
                <w:sz w:val="18"/>
                <w:szCs w:val="18"/>
                <w:lang w:val="fr-FR"/>
              </w:rPr>
              <w:t>renal</w:t>
            </w:r>
            <w:proofErr w:type="spellEnd"/>
            <w:proofErr w:type="gramEnd"/>
            <w:r w:rsidRPr="00666DEE">
              <w:rPr>
                <w:sz w:val="18"/>
                <w:szCs w:val="18"/>
                <w:lang w:val="fr-FR"/>
              </w:rPr>
              <w:t xml:space="preserve"> </w:t>
            </w:r>
            <w:proofErr w:type="spellStart"/>
            <w:r w:rsidRPr="00666DEE">
              <w:rPr>
                <w:sz w:val="18"/>
                <w:szCs w:val="18"/>
                <w:lang w:val="fr-FR"/>
              </w:rPr>
              <w:t>failure</w:t>
            </w:r>
            <w:proofErr w:type="spellEnd"/>
            <w:r w:rsidRPr="00666DEE">
              <w:rPr>
                <w:sz w:val="18"/>
                <w:szCs w:val="18"/>
                <w:lang w:val="fr-FR"/>
              </w:rPr>
              <w:t xml:space="preserve"> acute (</w:t>
            </w:r>
            <w:proofErr w:type="spellStart"/>
            <w:r w:rsidRPr="00666DEE">
              <w:rPr>
                <w:sz w:val="18"/>
                <w:szCs w:val="18"/>
                <w:lang w:val="fr-FR"/>
              </w:rPr>
              <w:t>see</w:t>
            </w:r>
            <w:proofErr w:type="spellEnd"/>
            <w:r w:rsidRPr="00666DEE">
              <w:rPr>
                <w:sz w:val="18"/>
                <w:szCs w:val="18"/>
                <w:lang w:val="fr-FR"/>
              </w:rPr>
              <w:t xml:space="preserve"> 4.4) ;</w:t>
            </w:r>
            <w:r w:rsidRPr="00666DEE">
              <w:rPr>
                <w:sz w:val="18"/>
                <w:szCs w:val="18"/>
              </w:rPr>
              <w:t xml:space="preserve"> </w:t>
            </w:r>
            <w:r w:rsidRPr="00666DEE">
              <w:rPr>
                <w:sz w:val="18"/>
                <w:szCs w:val="18"/>
              </w:rPr>
              <w:br/>
            </w:r>
            <w:r w:rsidRPr="00666DEE">
              <w:rPr>
                <w:sz w:val="18"/>
                <w:szCs w:val="18"/>
                <w:lang w:val="en-US"/>
              </w:rPr>
              <w:t>renal pain</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7D59BEB0" w14:textId="77777777" w:rsidR="00BB36FB" w:rsidRDefault="00036817" w:rsidP="00FA5637">
            <w:pPr>
              <w:pStyle w:val="Text"/>
              <w:spacing w:before="0" w:after="0" w:line="276" w:lineRule="auto"/>
              <w:jc w:val="center"/>
              <w:rPr>
                <w:color w:val="auto"/>
                <w:sz w:val="18"/>
                <w:szCs w:val="18"/>
              </w:rPr>
            </w:pPr>
            <w:r w:rsidRPr="00036817">
              <w:rPr>
                <w:color w:val="auto"/>
                <w:sz w:val="18"/>
                <w:szCs w:val="18"/>
              </w:rPr>
              <w:t>not known</w:t>
            </w:r>
          </w:p>
          <w:p w14:paraId="76F567C9"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r w:rsidR="00BD773D" w:rsidRPr="004564F2" w14:paraId="30013CE4"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4BD64CAE" w14:textId="77777777" w:rsidR="00BD773D" w:rsidRPr="004564F2" w:rsidRDefault="00BD773D" w:rsidP="00FA5637">
            <w:pPr>
              <w:pStyle w:val="Text"/>
              <w:spacing w:before="0" w:after="0" w:line="276" w:lineRule="auto"/>
              <w:rPr>
                <w:noProof/>
                <w:sz w:val="18"/>
                <w:szCs w:val="18"/>
              </w:rPr>
            </w:pPr>
            <w:r w:rsidRPr="004564F2">
              <w:rPr>
                <w:noProof/>
                <w:sz w:val="18"/>
                <w:szCs w:val="18"/>
              </w:rPr>
              <w:t>General disorders and administration site conditions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77488886" w14:textId="77777777" w:rsidR="00BD773D" w:rsidRPr="00666DEE" w:rsidRDefault="00BD773D" w:rsidP="00FA5637">
            <w:pPr>
              <w:pStyle w:val="Text"/>
              <w:spacing w:before="0" w:after="0" w:line="276" w:lineRule="auto"/>
              <w:jc w:val="left"/>
              <w:rPr>
                <w:sz w:val="18"/>
                <w:szCs w:val="18"/>
              </w:rPr>
            </w:pPr>
            <w:r w:rsidRPr="00666DEE">
              <w:rPr>
                <w:sz w:val="18"/>
                <w:szCs w:val="18"/>
              </w:rPr>
              <w:t>oedema;</w:t>
            </w:r>
            <w:r w:rsidRPr="00666DEE">
              <w:rPr>
                <w:sz w:val="18"/>
                <w:szCs w:val="18"/>
              </w:rPr>
              <w:br/>
              <w:t>influenza like illness</w:t>
            </w:r>
            <w:r w:rsidRPr="00666DEE">
              <w:rPr>
                <w:sz w:val="18"/>
                <w:szCs w:val="18"/>
              </w:rPr>
              <w:br/>
              <w:t>hot flush;</w:t>
            </w:r>
            <w:r w:rsidRPr="00666DEE">
              <w:rPr>
                <w:sz w:val="18"/>
                <w:szCs w:val="18"/>
              </w:rPr>
              <w:br/>
              <w:t>flushing;</w:t>
            </w:r>
            <w:r w:rsidRPr="00666DEE">
              <w:rPr>
                <w:sz w:val="18"/>
                <w:szCs w:val="18"/>
              </w:rPr>
              <w:br/>
              <w:t>feeling cold;</w:t>
            </w:r>
            <w:r w:rsidRPr="00666DEE">
              <w:rPr>
                <w:sz w:val="18"/>
                <w:szCs w:val="18"/>
              </w:rPr>
              <w:br/>
              <w:t xml:space="preserve">feeling hot; </w:t>
            </w:r>
            <w:r w:rsidRPr="00666DEE">
              <w:rPr>
                <w:sz w:val="18"/>
                <w:szCs w:val="18"/>
              </w:rPr>
              <w:br/>
            </w:r>
            <w:r w:rsidRPr="00666DEE">
              <w:rPr>
                <w:sz w:val="18"/>
                <w:szCs w:val="18"/>
              </w:rPr>
              <w:lastRenderedPageBreak/>
              <w:t>hyperhidrosis;</w:t>
            </w:r>
            <w:r w:rsidRPr="00666DEE">
              <w:rPr>
                <w:sz w:val="18"/>
                <w:szCs w:val="18"/>
              </w:rPr>
              <w:br/>
              <w:t>chest discomfort;</w:t>
            </w:r>
            <w:r w:rsidRPr="00666DEE">
              <w:rPr>
                <w:sz w:val="18"/>
                <w:szCs w:val="18"/>
              </w:rPr>
              <w:br/>
              <w:t>lethargy;</w:t>
            </w:r>
            <w:r w:rsidRPr="00666DEE">
              <w:rPr>
                <w:sz w:val="18"/>
                <w:szCs w:val="18"/>
              </w:rPr>
              <w:br/>
              <w:t>burning sensation;</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34AA6A4D"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lastRenderedPageBreak/>
              <w:t>not known</w:t>
            </w:r>
          </w:p>
          <w:p w14:paraId="08BCDBED"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504DBF4E"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51B0F39E"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0C7EDDE7"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7A1390CD"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5BA6F6EA"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lastRenderedPageBreak/>
              <w:t>not known</w:t>
            </w:r>
          </w:p>
          <w:p w14:paraId="2F5B6552"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604ACD5C" w14:textId="77777777" w:rsidR="00036817" w:rsidRDefault="00036817" w:rsidP="00FA5637">
            <w:pPr>
              <w:tabs>
                <w:tab w:val="left" w:pos="1464"/>
              </w:tabs>
              <w:spacing w:line="276" w:lineRule="auto"/>
              <w:jc w:val="center"/>
              <w:rPr>
                <w:color w:val="auto"/>
                <w:sz w:val="18"/>
                <w:szCs w:val="18"/>
              </w:rPr>
            </w:pPr>
            <w:r w:rsidRPr="00036817">
              <w:rPr>
                <w:color w:val="auto"/>
                <w:sz w:val="18"/>
                <w:szCs w:val="18"/>
              </w:rPr>
              <w:t>not known</w:t>
            </w:r>
          </w:p>
          <w:p w14:paraId="30B522B5" w14:textId="77777777" w:rsidR="00036817" w:rsidRPr="00BB36FB" w:rsidRDefault="00036817" w:rsidP="00FA5637">
            <w:pPr>
              <w:tabs>
                <w:tab w:val="left" w:pos="1464"/>
              </w:tabs>
              <w:spacing w:line="276" w:lineRule="auto"/>
              <w:jc w:val="center"/>
              <w:rPr>
                <w:sz w:val="18"/>
                <w:szCs w:val="18"/>
              </w:rPr>
            </w:pPr>
            <w:r w:rsidRPr="00036817">
              <w:rPr>
                <w:color w:val="auto"/>
                <w:sz w:val="18"/>
                <w:szCs w:val="18"/>
              </w:rPr>
              <w:t>not known</w:t>
            </w:r>
          </w:p>
        </w:tc>
      </w:tr>
      <w:tr w:rsidR="00BD773D" w14:paraId="00ACCCFD" w14:textId="77777777" w:rsidTr="00462135">
        <w:tc>
          <w:tcPr>
            <w:tcW w:w="4393" w:type="dxa"/>
            <w:tcBorders>
              <w:top w:val="single" w:sz="4" w:space="0" w:color="auto"/>
              <w:left w:val="single" w:sz="4" w:space="0" w:color="auto"/>
              <w:bottom w:val="single" w:sz="4" w:space="0" w:color="auto"/>
              <w:right w:val="single" w:sz="4" w:space="0" w:color="auto"/>
            </w:tcBorders>
            <w:shd w:val="clear" w:color="auto" w:fill="auto"/>
          </w:tcPr>
          <w:p w14:paraId="3A89C714" w14:textId="77777777" w:rsidR="00BD773D" w:rsidRPr="004564F2" w:rsidRDefault="00BD773D" w:rsidP="00FA5637">
            <w:pPr>
              <w:pStyle w:val="Text"/>
              <w:spacing w:before="0" w:after="0" w:line="276" w:lineRule="auto"/>
              <w:rPr>
                <w:noProof/>
                <w:sz w:val="18"/>
                <w:szCs w:val="18"/>
              </w:rPr>
            </w:pPr>
            <w:r w:rsidRPr="004564F2">
              <w:rPr>
                <w:noProof/>
                <w:sz w:val="18"/>
                <w:szCs w:val="18"/>
              </w:rPr>
              <w:lastRenderedPageBreak/>
              <w:t>Investigations</w:t>
            </w:r>
          </w:p>
        </w:tc>
        <w:tc>
          <w:tcPr>
            <w:tcW w:w="3439" w:type="dxa"/>
            <w:tcBorders>
              <w:top w:val="single" w:sz="4" w:space="0" w:color="auto"/>
              <w:left w:val="single" w:sz="4" w:space="0" w:color="auto"/>
              <w:bottom w:val="single" w:sz="4" w:space="0" w:color="auto"/>
              <w:right w:val="single" w:sz="4" w:space="0" w:color="auto"/>
            </w:tcBorders>
            <w:shd w:val="clear" w:color="auto" w:fill="auto"/>
          </w:tcPr>
          <w:p w14:paraId="52A71259" w14:textId="77777777" w:rsidR="00BD773D" w:rsidRPr="00666DEE" w:rsidRDefault="00BD773D" w:rsidP="00FA5637">
            <w:pPr>
              <w:pStyle w:val="Text"/>
              <w:spacing w:before="0" w:after="0" w:line="276" w:lineRule="auto"/>
              <w:jc w:val="left"/>
              <w:rPr>
                <w:sz w:val="18"/>
                <w:szCs w:val="18"/>
              </w:rPr>
            </w:pPr>
            <w:r w:rsidRPr="00666DEE">
              <w:rPr>
                <w:sz w:val="18"/>
                <w:szCs w:val="18"/>
              </w:rPr>
              <w:t>blood glucose false positive (see 4.4)</w:t>
            </w:r>
          </w:p>
        </w:tc>
        <w:tc>
          <w:tcPr>
            <w:tcW w:w="1095" w:type="dxa"/>
            <w:tcBorders>
              <w:top w:val="single" w:sz="4" w:space="0" w:color="auto"/>
              <w:left w:val="single" w:sz="4" w:space="0" w:color="auto"/>
              <w:bottom w:val="single" w:sz="4" w:space="0" w:color="auto"/>
              <w:right w:val="single" w:sz="4" w:space="0" w:color="auto"/>
            </w:tcBorders>
            <w:shd w:val="clear" w:color="auto" w:fill="auto"/>
          </w:tcPr>
          <w:p w14:paraId="6E77B021" w14:textId="77777777" w:rsidR="00036817" w:rsidRPr="00BB36FB" w:rsidRDefault="00036817" w:rsidP="00FA5637">
            <w:pPr>
              <w:pStyle w:val="Text"/>
              <w:spacing w:before="0" w:after="0" w:line="276" w:lineRule="auto"/>
              <w:jc w:val="center"/>
              <w:rPr>
                <w:color w:val="auto"/>
                <w:sz w:val="18"/>
                <w:szCs w:val="18"/>
              </w:rPr>
            </w:pPr>
            <w:r w:rsidRPr="00036817">
              <w:rPr>
                <w:color w:val="auto"/>
                <w:sz w:val="18"/>
                <w:szCs w:val="18"/>
              </w:rPr>
              <w:t>not known</w:t>
            </w:r>
          </w:p>
        </w:tc>
      </w:tr>
    </w:tbl>
    <w:p w14:paraId="0040C813" w14:textId="77777777" w:rsidR="007B729F" w:rsidRDefault="007B729F">
      <w:pPr>
        <w:pStyle w:val="BodyText"/>
        <w:rPr>
          <w:rFonts w:ascii="Times New Roman" w:hAnsi="Times New Roman"/>
          <w:color w:val="auto"/>
          <w:szCs w:val="24"/>
          <w:lang w:val="en-US"/>
        </w:rPr>
      </w:pPr>
    </w:p>
    <w:p w14:paraId="5048434A" w14:textId="77777777" w:rsidR="000A05FA" w:rsidRPr="007928D0" w:rsidRDefault="007E5D11">
      <w:pPr>
        <w:pStyle w:val="Text"/>
        <w:rPr>
          <w:color w:val="auto"/>
          <w:u w:val="single"/>
          <w:lang w:val="en-AU"/>
        </w:rPr>
      </w:pPr>
      <w:r w:rsidRPr="007E5D11">
        <w:rPr>
          <w:color w:val="auto"/>
          <w:u w:val="single"/>
          <w:lang w:val="en-AU"/>
        </w:rPr>
        <w:t>Description of selected adverse reactions</w:t>
      </w:r>
    </w:p>
    <w:p w14:paraId="7F4A50AC" w14:textId="77777777" w:rsidR="000A05FA" w:rsidRPr="007928D0" w:rsidRDefault="0001004A">
      <w:pPr>
        <w:pStyle w:val="Text"/>
        <w:rPr>
          <w:color w:val="auto"/>
          <w:lang w:val="en-AU"/>
        </w:rPr>
      </w:pPr>
      <w:r>
        <w:rPr>
          <w:color w:val="auto"/>
          <w:lang w:val="en-AU"/>
        </w:rPr>
        <w:t xml:space="preserve">For description of selected adverse events, </w:t>
      </w:r>
      <w:r w:rsidR="005E0313">
        <w:rPr>
          <w:color w:val="auto"/>
          <w:lang w:val="en-AU"/>
        </w:rPr>
        <w:t xml:space="preserve">such as hypersensitivity reactions, thromboembolism, acute renal failure, aseptic meningitis syndrome and haemolytic anaemia, </w:t>
      </w:r>
      <w:r>
        <w:rPr>
          <w:color w:val="auto"/>
          <w:lang w:val="en-AU"/>
        </w:rPr>
        <w:t xml:space="preserve">see </w:t>
      </w:r>
      <w:r w:rsidR="0017395C">
        <w:rPr>
          <w:color w:val="auto"/>
          <w:lang w:val="en-AU"/>
        </w:rPr>
        <w:t>Section 4.4</w:t>
      </w:r>
    </w:p>
    <w:p w14:paraId="6105C24E" w14:textId="77777777" w:rsidR="00F91455" w:rsidRDefault="00F91455">
      <w:pPr>
        <w:pStyle w:val="Text"/>
        <w:rPr>
          <w:color w:val="auto"/>
          <w:u w:val="single"/>
          <w:lang w:val="en-AU"/>
        </w:rPr>
      </w:pPr>
    </w:p>
    <w:p w14:paraId="34FC12DD" w14:textId="77777777" w:rsidR="000A05FA" w:rsidRPr="007928D0" w:rsidRDefault="007E5D11">
      <w:pPr>
        <w:pStyle w:val="Text"/>
        <w:rPr>
          <w:color w:val="auto"/>
          <w:u w:val="single"/>
          <w:lang w:val="en-AU"/>
        </w:rPr>
      </w:pPr>
      <w:r w:rsidRPr="007E5D11">
        <w:rPr>
          <w:color w:val="auto"/>
          <w:u w:val="single"/>
          <w:lang w:val="en-AU"/>
        </w:rPr>
        <w:t>Paediatric population</w:t>
      </w:r>
    </w:p>
    <w:p w14:paraId="456C6AAC" w14:textId="3984C0F6" w:rsidR="00AA409C" w:rsidRDefault="00AA409C" w:rsidP="00AA409C">
      <w:pPr>
        <w:pStyle w:val="ATextBericht"/>
      </w:pPr>
      <w:r w:rsidRPr="00245E49">
        <w:t xml:space="preserve">In clinical studies with </w:t>
      </w:r>
      <w:proofErr w:type="spellStart"/>
      <w:r w:rsidRPr="00245E49">
        <w:t>Octagam</w:t>
      </w:r>
      <w:proofErr w:type="spellEnd"/>
      <w:r w:rsidR="00646A6D">
        <w:t xml:space="preserve"> </w:t>
      </w:r>
      <w:r w:rsidR="004F250D">
        <w:t>5%</w:t>
      </w:r>
      <w:r w:rsidRPr="00245E49">
        <w:t xml:space="preserve"> most </w:t>
      </w:r>
      <w:r w:rsidR="0017395C" w:rsidRPr="00245E49">
        <w:t>adverse reactions</w:t>
      </w:r>
      <w:r w:rsidRPr="00245E49">
        <w:t xml:space="preserve"> observed in children were graded as mild and many of them responded to simple measurements such as reduction of the infusion rate or temporary discontinuation of the infusion. With respect to the type of </w:t>
      </w:r>
      <w:r w:rsidR="0017395C" w:rsidRPr="00245E49">
        <w:t>adverse reaction</w:t>
      </w:r>
      <w:r w:rsidRPr="00245E49">
        <w:t xml:space="preserve">, all were recognised for IVIG preparations. The most frequent </w:t>
      </w:r>
      <w:r w:rsidR="0017395C" w:rsidRPr="00245E49">
        <w:t>adverse reaction</w:t>
      </w:r>
      <w:r w:rsidRPr="00245E49">
        <w:t xml:space="preserve"> observed in the paediatric population was headache.</w:t>
      </w:r>
    </w:p>
    <w:p w14:paraId="6B451FC6" w14:textId="77777777" w:rsidR="009F2735" w:rsidRDefault="009F2735" w:rsidP="00AA409C">
      <w:pPr>
        <w:pStyle w:val="ATextBericht"/>
      </w:pPr>
    </w:p>
    <w:p w14:paraId="55E0E038" w14:textId="77777777" w:rsidR="00D51C37" w:rsidRPr="00B3208E" w:rsidRDefault="00D51C37" w:rsidP="00D51C37">
      <w:pPr>
        <w:autoSpaceDE w:val="0"/>
        <w:autoSpaceDN w:val="0"/>
        <w:adjustRightInd w:val="0"/>
        <w:rPr>
          <w:szCs w:val="22"/>
          <w:u w:val="single"/>
        </w:rPr>
      </w:pPr>
      <w:r w:rsidRPr="00B3208E">
        <w:rPr>
          <w:szCs w:val="22"/>
          <w:u w:val="single"/>
        </w:rPr>
        <w:t>Reporting of suspected adverse reactions</w:t>
      </w:r>
    </w:p>
    <w:p w14:paraId="2F06B6C3" w14:textId="77777777" w:rsidR="00D51C37" w:rsidRPr="008225EB" w:rsidRDefault="00D51C37" w:rsidP="00D51C37">
      <w:pPr>
        <w:autoSpaceDE w:val="0"/>
        <w:autoSpaceDN w:val="0"/>
        <w:adjustRightInd w:val="0"/>
        <w:rPr>
          <w:noProof/>
          <w:szCs w:val="22"/>
        </w:rPr>
      </w:pPr>
      <w:r w:rsidRPr="00A26F79">
        <w:rPr>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5429BD">
        <w:rPr>
          <w:szCs w:val="22"/>
          <w:highlight w:val="lightGray"/>
        </w:rPr>
        <w:t>the national reporting system listed in Appendix V</w:t>
      </w:r>
      <w:r w:rsidRPr="008225EB">
        <w:rPr>
          <w:szCs w:val="22"/>
        </w:rPr>
        <w:t>.</w:t>
      </w:r>
    </w:p>
    <w:p w14:paraId="2F9E1854" w14:textId="77777777" w:rsidR="00D51C37" w:rsidRPr="008225EB" w:rsidRDefault="00D51C37" w:rsidP="00D51C37">
      <w:pPr>
        <w:autoSpaceDE w:val="0"/>
        <w:autoSpaceDN w:val="0"/>
        <w:adjustRightInd w:val="0"/>
        <w:rPr>
          <w:szCs w:val="22"/>
        </w:rPr>
      </w:pPr>
    </w:p>
    <w:p w14:paraId="5F181EEA" w14:textId="77777777" w:rsidR="007B729F" w:rsidRDefault="007B729F">
      <w:pPr>
        <w:pStyle w:val="Formatvorlageberschrift2AutomatischBlock"/>
        <w:rPr>
          <w:lang w:val="en-US"/>
        </w:rPr>
      </w:pPr>
      <w:r>
        <w:rPr>
          <w:lang w:val="en-US"/>
        </w:rPr>
        <w:t>Overdose</w:t>
      </w:r>
    </w:p>
    <w:p w14:paraId="3B66CD07" w14:textId="5CF81BBB" w:rsidR="007B729F" w:rsidRDefault="007B729F">
      <w:pPr>
        <w:pStyle w:val="Text"/>
        <w:rPr>
          <w:color w:val="auto"/>
        </w:rPr>
      </w:pPr>
      <w:r>
        <w:rPr>
          <w:color w:val="auto"/>
        </w:rPr>
        <w:t xml:space="preserve">Overdose may lead to fluid overload and </w:t>
      </w:r>
      <w:proofErr w:type="spellStart"/>
      <w:r>
        <w:rPr>
          <w:color w:val="auto"/>
        </w:rPr>
        <w:t>hyperviscosity</w:t>
      </w:r>
      <w:proofErr w:type="spellEnd"/>
      <w:r>
        <w:rPr>
          <w:color w:val="auto"/>
        </w:rPr>
        <w:t xml:space="preserve">, particularly in patients at risk, including </w:t>
      </w:r>
      <w:r w:rsidR="00201FF9">
        <w:rPr>
          <w:color w:val="auto"/>
        </w:rPr>
        <w:t xml:space="preserve">infants, </w:t>
      </w:r>
      <w:r>
        <w:rPr>
          <w:color w:val="auto"/>
        </w:rPr>
        <w:t xml:space="preserve">elderly </w:t>
      </w:r>
      <w:proofErr w:type="gramStart"/>
      <w:r>
        <w:rPr>
          <w:color w:val="auto"/>
        </w:rPr>
        <w:t>patients</w:t>
      </w:r>
      <w:proofErr w:type="gramEnd"/>
      <w:r>
        <w:rPr>
          <w:color w:val="auto"/>
        </w:rPr>
        <w:t xml:space="preserve"> or patients with </w:t>
      </w:r>
      <w:r w:rsidR="000A05FA">
        <w:rPr>
          <w:color w:val="auto"/>
        </w:rPr>
        <w:t xml:space="preserve">cardiac or </w:t>
      </w:r>
      <w:r>
        <w:rPr>
          <w:color w:val="auto"/>
        </w:rPr>
        <w:t>renal impairment</w:t>
      </w:r>
      <w:r w:rsidR="00847623">
        <w:rPr>
          <w:color w:val="auto"/>
        </w:rPr>
        <w:t xml:space="preserve"> (see section 4.4)</w:t>
      </w:r>
      <w:r>
        <w:rPr>
          <w:color w:val="auto"/>
        </w:rPr>
        <w:t xml:space="preserve">. </w:t>
      </w:r>
    </w:p>
    <w:p w14:paraId="71D44D19" w14:textId="77777777" w:rsidR="00C93845" w:rsidRDefault="00C93845">
      <w:pPr>
        <w:pStyle w:val="Text"/>
        <w:rPr>
          <w:color w:val="auto"/>
        </w:rPr>
      </w:pPr>
    </w:p>
    <w:p w14:paraId="789EA3D3" w14:textId="77777777" w:rsidR="007B729F" w:rsidRDefault="007B729F">
      <w:pPr>
        <w:pStyle w:val="Formatvorlageberschrift1Automatisch"/>
      </w:pPr>
      <w:r>
        <w:t>PHARMACOLOGICAL PROPERTIES</w:t>
      </w:r>
    </w:p>
    <w:p w14:paraId="78FFDDA5" w14:textId="77777777" w:rsidR="007B729F" w:rsidRDefault="007B729F">
      <w:pPr>
        <w:pStyle w:val="Formatvorlageberschrift2AutomatischBlock"/>
      </w:pPr>
      <w:proofErr w:type="spellStart"/>
      <w:r>
        <w:t>Pharmacodynamic</w:t>
      </w:r>
      <w:proofErr w:type="spellEnd"/>
      <w:r>
        <w:t xml:space="preserve"> </w:t>
      </w:r>
      <w:proofErr w:type="spellStart"/>
      <w:r>
        <w:t>properties</w:t>
      </w:r>
      <w:proofErr w:type="spellEnd"/>
    </w:p>
    <w:p w14:paraId="59990965" w14:textId="34EB6B5E" w:rsidR="007B729F" w:rsidRPr="008A2429" w:rsidRDefault="007B729F">
      <w:pPr>
        <w:pStyle w:val="Text"/>
        <w:jc w:val="left"/>
        <w:rPr>
          <w:color w:val="auto"/>
          <w:lang w:val="en-US"/>
        </w:rPr>
      </w:pPr>
      <w:r>
        <w:rPr>
          <w:color w:val="auto"/>
        </w:rPr>
        <w:t>Pharmacotherapeutic group: immune sera and immunoglobulins: immunoglobulins, normal human, for intravascular administration,</w:t>
      </w:r>
      <w:r w:rsidR="00BD2920">
        <w:rPr>
          <w:color w:val="auto"/>
        </w:rPr>
        <w:t xml:space="preserve"> </w:t>
      </w:r>
      <w:r w:rsidRPr="008A2429">
        <w:rPr>
          <w:color w:val="auto"/>
          <w:lang w:val="en-US"/>
        </w:rPr>
        <w:t>ATC-Code: J06BA02</w:t>
      </w:r>
    </w:p>
    <w:p w14:paraId="5F0A5FBA" w14:textId="77777777" w:rsidR="007B729F" w:rsidRDefault="007B729F">
      <w:pPr>
        <w:pStyle w:val="Text"/>
        <w:rPr>
          <w:color w:val="auto"/>
        </w:rPr>
      </w:pPr>
      <w:r>
        <w:rPr>
          <w:color w:val="auto"/>
        </w:rPr>
        <w:t>Human normal immunoglobulin contains mainly immunoglobulin G (IgG) with a broad spectrum of antibodies against infectious agents.</w:t>
      </w:r>
    </w:p>
    <w:p w14:paraId="2C941A98" w14:textId="23CCEBC4" w:rsidR="007B729F" w:rsidRDefault="007B729F">
      <w:pPr>
        <w:pStyle w:val="Text"/>
        <w:rPr>
          <w:color w:val="auto"/>
        </w:rPr>
      </w:pPr>
      <w:r>
        <w:rPr>
          <w:color w:val="auto"/>
        </w:rPr>
        <w:t>Human normal immunoglobulin contains the IgG antibodies present in the normal population.</w:t>
      </w:r>
      <w:r w:rsidR="00C93845">
        <w:rPr>
          <w:color w:val="auto"/>
        </w:rPr>
        <w:t xml:space="preserve"> </w:t>
      </w:r>
      <w:r>
        <w:rPr>
          <w:color w:val="auto"/>
        </w:rPr>
        <w:t xml:space="preserve">It is </w:t>
      </w:r>
      <w:r w:rsidR="00896C1F">
        <w:rPr>
          <w:color w:val="auto"/>
        </w:rPr>
        <w:t xml:space="preserve">usually </w:t>
      </w:r>
      <w:r>
        <w:rPr>
          <w:color w:val="auto"/>
        </w:rPr>
        <w:t xml:space="preserve">prepared from pooled plasma from not fewer than 1000 </w:t>
      </w:r>
      <w:r w:rsidR="00201FF9">
        <w:rPr>
          <w:color w:val="auto"/>
        </w:rPr>
        <w:t>donors</w:t>
      </w:r>
      <w:r>
        <w:rPr>
          <w:color w:val="auto"/>
        </w:rPr>
        <w:t>. It has a distribution of immunoglobulin G-subclasses closely proportional to that in na</w:t>
      </w:r>
      <w:r w:rsidR="008A2429">
        <w:rPr>
          <w:color w:val="auto"/>
        </w:rPr>
        <w:t>t</w:t>
      </w:r>
      <w:r>
        <w:rPr>
          <w:color w:val="auto"/>
        </w:rPr>
        <w:t>ive human plasma. Adequate doses of this medicinal product may restore abnormally low Immunoglobulin G level</w:t>
      </w:r>
      <w:r w:rsidR="00170462">
        <w:rPr>
          <w:color w:val="auto"/>
        </w:rPr>
        <w:t>s</w:t>
      </w:r>
      <w:r>
        <w:rPr>
          <w:color w:val="auto"/>
        </w:rPr>
        <w:t xml:space="preserve"> to the normal range.</w:t>
      </w:r>
      <w:r w:rsidR="00205A76">
        <w:rPr>
          <w:color w:val="auto"/>
        </w:rPr>
        <w:t xml:space="preserve"> </w:t>
      </w:r>
      <w:r>
        <w:rPr>
          <w:color w:val="auto"/>
        </w:rPr>
        <w:t>The mechanism of action in indications other than replacement therapy is not fully elucidated</w:t>
      </w:r>
      <w:r w:rsidR="00C93845">
        <w:rPr>
          <w:color w:val="auto"/>
        </w:rPr>
        <w:t>.</w:t>
      </w:r>
    </w:p>
    <w:p w14:paraId="48CD04F9" w14:textId="77777777" w:rsidR="007B729F" w:rsidRDefault="007B729F">
      <w:pPr>
        <w:jc w:val="both"/>
        <w:rPr>
          <w:color w:val="auto"/>
          <w:szCs w:val="24"/>
          <w:u w:val="single"/>
          <w:lang w:eastAsia="de-DE"/>
        </w:rPr>
      </w:pPr>
    </w:p>
    <w:p w14:paraId="7C44906E" w14:textId="77777777" w:rsidR="007B729F" w:rsidRDefault="007B729F">
      <w:pPr>
        <w:jc w:val="both"/>
        <w:rPr>
          <w:rFonts w:eastAsia="Arial Unicode MS"/>
          <w:color w:val="auto"/>
          <w:szCs w:val="24"/>
          <w:u w:val="single"/>
          <w:lang w:eastAsia="de-DE"/>
        </w:rPr>
      </w:pPr>
      <w:r>
        <w:rPr>
          <w:color w:val="auto"/>
          <w:szCs w:val="24"/>
          <w:u w:val="single"/>
          <w:lang w:eastAsia="de-DE"/>
        </w:rPr>
        <w:lastRenderedPageBreak/>
        <w:t>Clinical Studies</w:t>
      </w:r>
    </w:p>
    <w:p w14:paraId="6D65D334" w14:textId="12CCF1DB" w:rsidR="007B729F" w:rsidRDefault="007B729F">
      <w:pPr>
        <w:spacing w:before="120" w:after="60"/>
        <w:jc w:val="both"/>
        <w:rPr>
          <w:color w:val="auto"/>
          <w:szCs w:val="24"/>
          <w:lang w:eastAsia="de-DE"/>
        </w:rPr>
      </w:pPr>
      <w:r>
        <w:rPr>
          <w:color w:val="auto"/>
          <w:szCs w:val="24"/>
          <w:lang w:eastAsia="de-DE"/>
        </w:rPr>
        <w:t xml:space="preserve">In a prospective, open-label, multicentre phase III trial, the efficacy and safety of </w:t>
      </w:r>
      <w:proofErr w:type="spellStart"/>
      <w:r w:rsidR="000F48D2">
        <w:rPr>
          <w:color w:val="auto"/>
          <w:szCs w:val="24"/>
          <w:lang w:eastAsia="de-DE"/>
        </w:rPr>
        <w:t>Octagam</w:t>
      </w:r>
      <w:proofErr w:type="spellEnd"/>
      <w:r w:rsidR="000F48D2">
        <w:rPr>
          <w:color w:val="auto"/>
          <w:szCs w:val="24"/>
          <w:lang w:eastAsia="de-DE"/>
        </w:rPr>
        <w:t xml:space="preserve"> </w:t>
      </w:r>
      <w:r>
        <w:rPr>
          <w:color w:val="auto"/>
        </w:rPr>
        <w:t>10%</w:t>
      </w:r>
      <w:r>
        <w:rPr>
          <w:color w:val="auto"/>
          <w:szCs w:val="24"/>
          <w:lang w:eastAsia="de-DE"/>
        </w:rPr>
        <w:t xml:space="preserve"> was studied in patients suffering from idiopathic (immune) thrombocytopenic purpura (ITP). </w:t>
      </w:r>
      <w:proofErr w:type="spellStart"/>
      <w:r>
        <w:rPr>
          <w:color w:val="auto"/>
          <w:szCs w:val="24"/>
          <w:lang w:eastAsia="de-DE"/>
        </w:rPr>
        <w:t>Octagam</w:t>
      </w:r>
      <w:proofErr w:type="spellEnd"/>
      <w:r>
        <w:rPr>
          <w:color w:val="auto"/>
          <w:szCs w:val="24"/>
          <w:lang w:eastAsia="de-DE"/>
        </w:rPr>
        <w:t xml:space="preserve"> </w:t>
      </w:r>
      <w:r>
        <w:rPr>
          <w:color w:val="auto"/>
        </w:rPr>
        <w:t>10%</w:t>
      </w:r>
      <w:bookmarkStart w:id="12" w:name="_Hlk158029477"/>
      <w:r>
        <w:rPr>
          <w:color w:val="auto"/>
          <w:szCs w:val="24"/>
          <w:lang w:eastAsia="de-DE"/>
        </w:rPr>
        <w:t xml:space="preserve"> </w:t>
      </w:r>
      <w:bookmarkEnd w:id="12"/>
      <w:r>
        <w:rPr>
          <w:color w:val="auto"/>
          <w:szCs w:val="24"/>
          <w:lang w:eastAsia="de-DE"/>
        </w:rPr>
        <w:t xml:space="preserve">was infused on 2 consecutive days at a dose of 1 gram/kg/day, and patients were observed for a period of 21 days and at a follow-up visit on Day 63 post-infusion. Haematology parameters were assessed on Days 2 to 7, 14 and 21. </w:t>
      </w:r>
    </w:p>
    <w:p w14:paraId="76646CD8" w14:textId="77777777" w:rsidR="007B729F" w:rsidRDefault="007B729F">
      <w:pPr>
        <w:spacing w:before="120" w:after="60"/>
        <w:jc w:val="both"/>
        <w:rPr>
          <w:color w:val="auto"/>
          <w:szCs w:val="24"/>
          <w:lang w:eastAsia="de-DE"/>
        </w:rPr>
      </w:pPr>
      <w:r>
        <w:rPr>
          <w:color w:val="auto"/>
          <w:szCs w:val="24"/>
          <w:lang w:eastAsia="de-DE"/>
        </w:rPr>
        <w:t xml:space="preserve">A total of </w:t>
      </w:r>
      <w:r w:rsidR="008A164F">
        <w:rPr>
          <w:color w:val="auto"/>
          <w:szCs w:val="24"/>
          <w:lang w:eastAsia="de-DE"/>
        </w:rPr>
        <w:t>116</w:t>
      </w:r>
      <w:r>
        <w:rPr>
          <w:color w:val="auto"/>
          <w:szCs w:val="24"/>
          <w:lang w:eastAsia="de-DE"/>
        </w:rPr>
        <w:t xml:space="preserve"> subjects were included in the analysis; </w:t>
      </w:r>
      <w:r w:rsidR="008A164F">
        <w:rPr>
          <w:color w:val="auto"/>
          <w:szCs w:val="24"/>
          <w:lang w:eastAsia="de-DE"/>
        </w:rPr>
        <w:t>66</w:t>
      </w:r>
      <w:r>
        <w:rPr>
          <w:color w:val="auto"/>
          <w:szCs w:val="24"/>
          <w:lang w:eastAsia="de-DE"/>
        </w:rPr>
        <w:t xml:space="preserve"> were subjects with chronic ITP, </w:t>
      </w:r>
      <w:r w:rsidR="008A164F">
        <w:rPr>
          <w:color w:val="auto"/>
          <w:szCs w:val="24"/>
          <w:lang w:eastAsia="de-DE"/>
        </w:rPr>
        <w:t>49</w:t>
      </w:r>
      <w:r>
        <w:rPr>
          <w:color w:val="auto"/>
          <w:szCs w:val="24"/>
          <w:lang w:eastAsia="de-DE"/>
        </w:rPr>
        <w:t xml:space="preserve"> were </w:t>
      </w:r>
      <w:proofErr w:type="gramStart"/>
      <w:r>
        <w:rPr>
          <w:color w:val="auto"/>
          <w:szCs w:val="24"/>
          <w:lang w:eastAsia="de-DE"/>
        </w:rPr>
        <w:t>newly-diagnosed</w:t>
      </w:r>
      <w:proofErr w:type="gramEnd"/>
      <w:r>
        <w:rPr>
          <w:color w:val="auto"/>
          <w:szCs w:val="24"/>
          <w:lang w:eastAsia="de-DE"/>
        </w:rPr>
        <w:t>, and 1 subject was incorrectly enrolled in the study (had no ITP) and was therefore excluded from the efficacy analysis.</w:t>
      </w:r>
    </w:p>
    <w:p w14:paraId="05B09D86" w14:textId="77777777" w:rsidR="007B729F" w:rsidRDefault="00830832">
      <w:pPr>
        <w:spacing w:before="120" w:after="60"/>
        <w:jc w:val="both"/>
        <w:rPr>
          <w:color w:val="auto"/>
          <w:szCs w:val="24"/>
          <w:lang w:eastAsia="de-DE"/>
        </w:rPr>
      </w:pPr>
      <w:r>
        <w:t>The overall</w:t>
      </w:r>
      <w:r w:rsidRPr="003B01EE">
        <w:t xml:space="preserve"> response rate </w:t>
      </w:r>
      <w:r>
        <w:t xml:space="preserve">in the full analysis set </w:t>
      </w:r>
      <w:r w:rsidRPr="003B01EE">
        <w:t xml:space="preserve">was </w:t>
      </w:r>
      <w:r>
        <w:t>80% (95% confidence interval: 7</w:t>
      </w:r>
      <w:r w:rsidR="00A03F6A">
        <w:t>3</w:t>
      </w:r>
      <w:r>
        <w:t xml:space="preserve">% to 87%). </w:t>
      </w:r>
      <w:r w:rsidRPr="00830832">
        <w:t>Clinical response rates were similar in the 2 cohorts: 8</w:t>
      </w:r>
      <w:r w:rsidR="00A03F6A">
        <w:t>2</w:t>
      </w:r>
      <w:r w:rsidRPr="00830832">
        <w:t>% in the chronic ITP cohort and 7</w:t>
      </w:r>
      <w:r w:rsidR="00A03F6A">
        <w:t>8</w:t>
      </w:r>
      <w:r w:rsidRPr="00830832">
        <w:t>%</w:t>
      </w:r>
      <w:r w:rsidRPr="003B01EE">
        <w:t xml:space="preserve"> in the newly</w:t>
      </w:r>
      <w:r w:rsidRPr="00830832">
        <w:t xml:space="preserve"> </w:t>
      </w:r>
      <w:r w:rsidRPr="003B01EE">
        <w:t>diagnosed cohort</w:t>
      </w:r>
      <w:r w:rsidRPr="00830832">
        <w:t>.</w:t>
      </w:r>
      <w:r w:rsidRPr="003B01EE">
        <w:t xml:space="preserve"> </w:t>
      </w:r>
      <w:r w:rsidR="007B729F">
        <w:rPr>
          <w:color w:val="auto"/>
          <w:szCs w:val="24"/>
          <w:lang w:eastAsia="de-DE"/>
        </w:rPr>
        <w:t xml:space="preserve">In subjects with a response, the median time to platelet response was 2 days, with a range of 1 to </w:t>
      </w:r>
      <w:r>
        <w:rPr>
          <w:color w:val="auto"/>
          <w:szCs w:val="24"/>
          <w:lang w:eastAsia="de-DE"/>
        </w:rPr>
        <w:t>6</w:t>
      </w:r>
      <w:r w:rsidR="007B729F">
        <w:rPr>
          <w:color w:val="auto"/>
          <w:szCs w:val="24"/>
          <w:lang w:eastAsia="de-DE"/>
        </w:rPr>
        <w:t xml:space="preserve"> days.</w:t>
      </w:r>
    </w:p>
    <w:p w14:paraId="6397C551" w14:textId="77777777" w:rsidR="007B729F" w:rsidRDefault="00D90AFE">
      <w:pPr>
        <w:spacing w:before="120" w:after="60"/>
        <w:jc w:val="both"/>
        <w:rPr>
          <w:color w:val="auto"/>
          <w:lang w:eastAsia="de-DE"/>
        </w:rPr>
      </w:pPr>
      <w:r>
        <w:rPr>
          <w:color w:val="auto"/>
          <w:szCs w:val="24"/>
          <w:lang w:eastAsia="de-DE"/>
        </w:rPr>
        <w:t>The</w:t>
      </w:r>
      <w:r w:rsidRPr="00D90AFE">
        <w:rPr>
          <w:color w:val="auto"/>
          <w:szCs w:val="24"/>
          <w:lang w:eastAsia="de-DE"/>
        </w:rPr>
        <w:t xml:space="preserve"> overall maximum infusion rate </w:t>
      </w:r>
      <w:r>
        <w:rPr>
          <w:color w:val="auto"/>
          <w:szCs w:val="24"/>
          <w:lang w:eastAsia="de-DE"/>
        </w:rPr>
        <w:t>was</w:t>
      </w:r>
      <w:r w:rsidRPr="00D90AFE">
        <w:rPr>
          <w:color w:val="auto"/>
          <w:szCs w:val="24"/>
          <w:lang w:eastAsia="de-DE"/>
        </w:rPr>
        <w:t xml:space="preserve"> 0.12 ml/kg/min. In the group of subjects in which a maximum infusion rate of 0.12 mL/kg/min was allowed (n=90), a median maximum infusion rate of 0.12 mL/kg/min (mean 0.10 mL/kg/min) was achieved.</w:t>
      </w:r>
      <w:r w:rsidR="001157B1">
        <w:rPr>
          <w:color w:val="auto"/>
          <w:szCs w:val="24"/>
          <w:lang w:eastAsia="de-DE"/>
        </w:rPr>
        <w:t xml:space="preserve"> </w:t>
      </w:r>
      <w:r w:rsidR="00830832" w:rsidRPr="00830832">
        <w:rPr>
          <w:color w:val="auto"/>
          <w:lang w:eastAsia="de-DE"/>
        </w:rPr>
        <w:t>Overall, 55% of subjects experienced a drug-related AE, with a si</w:t>
      </w:r>
      <w:r w:rsidR="00830832">
        <w:rPr>
          <w:color w:val="auto"/>
          <w:lang w:eastAsia="de-DE"/>
        </w:rPr>
        <w:t xml:space="preserve">milar incidence in the chronic ITP and </w:t>
      </w:r>
      <w:proofErr w:type="gramStart"/>
      <w:r w:rsidR="00830832">
        <w:rPr>
          <w:color w:val="auto"/>
          <w:lang w:eastAsia="de-DE"/>
        </w:rPr>
        <w:t>new</w:t>
      </w:r>
      <w:r w:rsidR="007C5142">
        <w:rPr>
          <w:color w:val="auto"/>
          <w:lang w:eastAsia="de-DE"/>
        </w:rPr>
        <w:t>ly-diagnosed</w:t>
      </w:r>
      <w:proofErr w:type="gramEnd"/>
      <w:r w:rsidR="007C5142">
        <w:rPr>
          <w:color w:val="auto"/>
          <w:lang w:eastAsia="de-DE"/>
        </w:rPr>
        <w:t xml:space="preserve"> ITP cohort</w:t>
      </w:r>
      <w:r w:rsidR="00830832" w:rsidRPr="00830832">
        <w:rPr>
          <w:color w:val="auto"/>
          <w:lang w:eastAsia="de-DE"/>
        </w:rPr>
        <w:t xml:space="preserve">. </w:t>
      </w:r>
      <w:proofErr w:type="gramStart"/>
      <w:r w:rsidR="00830832" w:rsidRPr="00830832">
        <w:rPr>
          <w:color w:val="auto"/>
          <w:lang w:eastAsia="de-DE"/>
        </w:rPr>
        <w:t>All of</w:t>
      </w:r>
      <w:proofErr w:type="gramEnd"/>
      <w:r w:rsidR="00830832" w:rsidRPr="00830832">
        <w:rPr>
          <w:color w:val="auto"/>
          <w:lang w:eastAsia="de-DE"/>
        </w:rPr>
        <w:t xml:space="preserve"> the drug-related AEs were mild or moderate in intensity, and all of them resolved.</w:t>
      </w:r>
      <w:r w:rsidR="007B729F">
        <w:rPr>
          <w:color w:val="auto"/>
          <w:lang w:eastAsia="de-DE"/>
        </w:rPr>
        <w:t xml:space="preserve"> </w:t>
      </w:r>
      <w:r w:rsidR="00830832" w:rsidRPr="003B01EE">
        <w:t xml:space="preserve">The most common </w:t>
      </w:r>
      <w:r w:rsidR="00830832">
        <w:t xml:space="preserve">AEs were </w:t>
      </w:r>
      <w:r w:rsidR="00830832" w:rsidRPr="003B01EE">
        <w:t xml:space="preserve">headache, </w:t>
      </w:r>
      <w:r w:rsidR="00830832">
        <w:t>increased heart rate (</w:t>
      </w:r>
      <w:r w:rsidR="007C5142" w:rsidRPr="007C5142">
        <w:t>alterations in pulse rate of as little as &gt; 10 beats/min were to be reported</w:t>
      </w:r>
      <w:r w:rsidR="00830832">
        <w:t>),</w:t>
      </w:r>
      <w:r w:rsidR="00830832" w:rsidRPr="003B01EE">
        <w:t xml:space="preserve"> and pyrexia.</w:t>
      </w:r>
      <w:r w:rsidR="007B729F">
        <w:rPr>
          <w:color w:val="auto"/>
          <w:lang w:eastAsia="de-DE"/>
        </w:rPr>
        <w:t xml:space="preserve"> </w:t>
      </w:r>
      <w:r w:rsidR="00830832">
        <w:t xml:space="preserve">Drug-related </w:t>
      </w:r>
      <w:proofErr w:type="spellStart"/>
      <w:r w:rsidR="00830832">
        <w:t>infusional</w:t>
      </w:r>
      <w:proofErr w:type="spellEnd"/>
      <w:r w:rsidR="00830832">
        <w:t xml:space="preserve"> AEs during or within 1 hour of infusions given at rates of ≤ 0.08 ml/kg/min occurred in 32 of 116 subjects (28%), while only 6 of 54 subjects (11%) had such AEs at a rate of 0.12 ml/kg/min (if AE onset was after the end of the infusion, the last rate applied was assigned to the AE). </w:t>
      </w:r>
      <w:r w:rsidR="007B729F">
        <w:rPr>
          <w:color w:val="auto"/>
          <w:lang w:eastAsia="de-DE"/>
        </w:rPr>
        <w:t>There was no case of haemolysis related to the study drug. Pre-treatment to alleviate infusion-related intolerability was not given</w:t>
      </w:r>
      <w:r w:rsidR="007C5142">
        <w:rPr>
          <w:color w:val="auto"/>
          <w:lang w:eastAsia="de-DE"/>
        </w:rPr>
        <w:t xml:space="preserve"> </w:t>
      </w:r>
      <w:r w:rsidR="007C5142">
        <w:t>except in 1 subject</w:t>
      </w:r>
      <w:r w:rsidR="007B729F">
        <w:rPr>
          <w:color w:val="auto"/>
          <w:lang w:eastAsia="de-DE"/>
        </w:rPr>
        <w:t>.</w:t>
      </w:r>
    </w:p>
    <w:p w14:paraId="507991A3" w14:textId="77777777" w:rsidR="00365558" w:rsidRDefault="00365558" w:rsidP="00365558">
      <w:pPr>
        <w:jc w:val="both"/>
        <w:rPr>
          <w:color w:val="auto"/>
          <w:highlight w:val="yellow"/>
          <w:u w:val="single"/>
        </w:rPr>
      </w:pPr>
    </w:p>
    <w:p w14:paraId="62D4F28E" w14:textId="77777777" w:rsidR="00365558" w:rsidRPr="00365558" w:rsidRDefault="00365558" w:rsidP="00365558">
      <w:pPr>
        <w:jc w:val="both"/>
        <w:rPr>
          <w:u w:val="single"/>
          <w:lang w:val="en-US"/>
        </w:rPr>
      </w:pPr>
      <w:r w:rsidRPr="00365558">
        <w:rPr>
          <w:color w:val="auto"/>
          <w:u w:val="single"/>
        </w:rPr>
        <w:t>Chronic inflammatory demyelinating polyneuropathy (CIDP):</w:t>
      </w:r>
    </w:p>
    <w:p w14:paraId="1E6A1159" w14:textId="46DA7C3D" w:rsidR="00365558" w:rsidRPr="00365558" w:rsidRDefault="00365558" w:rsidP="00365558">
      <w:pPr>
        <w:jc w:val="both"/>
      </w:pPr>
      <w:r w:rsidRPr="00365558">
        <w:t xml:space="preserve">A retrospective study included data from 46 patients with chronic inflammatory demyelinating polyneuropathy (CIDP), who had been treated with </w:t>
      </w:r>
      <w:proofErr w:type="spellStart"/>
      <w:r w:rsidRPr="00365558">
        <w:t>Octagam</w:t>
      </w:r>
      <w:proofErr w:type="spellEnd"/>
      <w:r w:rsidRPr="00365558">
        <w:t xml:space="preserve"> 5%. The analysis of efficacy included 24 patients, with 11 untreated patients (group 1) and 13 patients who had received no immunoglobulins in the 12 weeks before the start of therapy with </w:t>
      </w:r>
      <w:proofErr w:type="spellStart"/>
      <w:r w:rsidRPr="00365558">
        <w:t>Octagam</w:t>
      </w:r>
      <w:proofErr w:type="spellEnd"/>
      <w:r w:rsidRPr="00365558">
        <w:t xml:space="preserve"> 5% (group 2). Group 3 contained 13 other patients who had been </w:t>
      </w:r>
      <w:proofErr w:type="spellStart"/>
      <w:r w:rsidRPr="00365558">
        <w:t>pretreated</w:t>
      </w:r>
      <w:proofErr w:type="spellEnd"/>
      <w:r w:rsidRPr="00365558">
        <w:t xml:space="preserve"> with immunoglobulins (immunoglobulins administered within 12 weeks before the start of administration of </w:t>
      </w:r>
      <w:proofErr w:type="spellStart"/>
      <w:r w:rsidRPr="00365558">
        <w:t>Octagam</w:t>
      </w:r>
      <w:proofErr w:type="spellEnd"/>
      <w:r w:rsidRPr="00365558">
        <w:t xml:space="preserve"> 5%). The treatment was regarded as effective if the ONLS (Overall Neuropathy Limitations Scale) was reduced by at least one point within 4 months of the start of treatment.   In groups 1 and 2, the score was significantly reduced in 41.7% of the patients (p=0.02). </w:t>
      </w:r>
      <w:r w:rsidR="00E3304F">
        <w:t xml:space="preserve">Only </w:t>
      </w:r>
      <w:r w:rsidRPr="00365558">
        <w:t xml:space="preserve">3 of the </w:t>
      </w:r>
      <w:r w:rsidR="00E3304F">
        <w:t xml:space="preserve">13 </w:t>
      </w:r>
      <w:r w:rsidRPr="00365558">
        <w:t>patients (23.08%) in group 3 (</w:t>
      </w:r>
      <w:proofErr w:type="spellStart"/>
      <w:r w:rsidRPr="00365558">
        <w:t>pretreated</w:t>
      </w:r>
      <w:proofErr w:type="spellEnd"/>
      <w:r w:rsidRPr="00365558">
        <w:t xml:space="preserve"> with IVIg) exhibited an improvement in ONLS; 10 patients remained stable. </w:t>
      </w:r>
      <w:r w:rsidR="00C5720F" w:rsidRPr="00C5720F">
        <w:t xml:space="preserve">No more marked improvement in the ONLS was to be expected for the patients </w:t>
      </w:r>
      <w:proofErr w:type="spellStart"/>
      <w:r w:rsidR="00C5720F" w:rsidRPr="00C5720F">
        <w:t>pretreated</w:t>
      </w:r>
      <w:proofErr w:type="spellEnd"/>
      <w:r w:rsidR="00C5720F" w:rsidRPr="00C5720F">
        <w:t xml:space="preserve"> with IVIg.</w:t>
      </w:r>
      <w:r w:rsidRPr="00365558">
        <w:t xml:space="preserve"> </w:t>
      </w:r>
    </w:p>
    <w:p w14:paraId="66283C0D" w14:textId="2561B89D" w:rsidR="00365558" w:rsidRDefault="00365558" w:rsidP="00365558">
      <w:pPr>
        <w:jc w:val="both"/>
      </w:pPr>
      <w:r w:rsidRPr="00365558">
        <w:t xml:space="preserve">The mean age of the patients examined was 65 years, which is greater than in other CIDP studies.  In patients older than 65 years, the response rate was lower than in younger patients.  This is in accordance with published data. </w:t>
      </w:r>
    </w:p>
    <w:p w14:paraId="30F41A14" w14:textId="77777777" w:rsidR="004459A1" w:rsidRDefault="004459A1" w:rsidP="00365558">
      <w:pPr>
        <w:jc w:val="both"/>
      </w:pPr>
    </w:p>
    <w:p w14:paraId="3094ABD2" w14:textId="77777777" w:rsidR="00B3047A" w:rsidRDefault="00B3047A" w:rsidP="00B3047A">
      <w:pPr>
        <w:pStyle w:val="Text"/>
        <w:rPr>
          <w:color w:val="auto"/>
          <w:u w:val="single"/>
          <w:lang w:val="en-AU"/>
        </w:rPr>
      </w:pPr>
      <w:bookmarkStart w:id="13" w:name="_Hlk63353119"/>
      <w:r>
        <w:rPr>
          <w:color w:val="auto"/>
          <w:u w:val="single"/>
          <w:lang w:val="en-AU"/>
        </w:rPr>
        <w:t>Dermatomyositis</w:t>
      </w:r>
      <w:r w:rsidRPr="00B3047A">
        <w:rPr>
          <w:color w:val="auto"/>
          <w:u w:val="single"/>
          <w:lang w:val="en-AU"/>
        </w:rPr>
        <w:t xml:space="preserve"> (</w:t>
      </w:r>
      <w:r>
        <w:rPr>
          <w:color w:val="auto"/>
          <w:u w:val="single"/>
          <w:lang w:val="en-AU"/>
        </w:rPr>
        <w:t>DM</w:t>
      </w:r>
      <w:r w:rsidRPr="00B3047A">
        <w:rPr>
          <w:color w:val="auto"/>
          <w:u w:val="single"/>
          <w:lang w:val="en-AU"/>
        </w:rPr>
        <w:t>):</w:t>
      </w:r>
    </w:p>
    <w:p w14:paraId="52905CBF" w14:textId="77777777" w:rsidR="00B3047A" w:rsidRDefault="00B3047A" w:rsidP="007F52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jc w:val="both"/>
        <w:rPr>
          <w:szCs w:val="16"/>
        </w:rPr>
      </w:pPr>
      <w:r w:rsidRPr="00165E05">
        <w:rPr>
          <w:szCs w:val="16"/>
        </w:rPr>
        <w:t>In a prospective, double</w:t>
      </w:r>
      <w:r>
        <w:rPr>
          <w:szCs w:val="16"/>
        </w:rPr>
        <w:t>-</w:t>
      </w:r>
      <w:r w:rsidRPr="00165E05">
        <w:rPr>
          <w:szCs w:val="16"/>
        </w:rPr>
        <w:t xml:space="preserve">blind, </w:t>
      </w:r>
      <w:r>
        <w:rPr>
          <w:szCs w:val="16"/>
        </w:rPr>
        <w:t xml:space="preserve">randomized </w:t>
      </w:r>
      <w:r w:rsidRPr="00165E05">
        <w:rPr>
          <w:szCs w:val="16"/>
        </w:rPr>
        <w:t>placebo-controlled</w:t>
      </w:r>
      <w:r>
        <w:rPr>
          <w:szCs w:val="16"/>
        </w:rPr>
        <w:t xml:space="preserve">, </w:t>
      </w:r>
      <w:proofErr w:type="spellStart"/>
      <w:r>
        <w:rPr>
          <w:szCs w:val="16"/>
        </w:rPr>
        <w:t>multicenter</w:t>
      </w:r>
      <w:proofErr w:type="spellEnd"/>
      <w:r>
        <w:rPr>
          <w:szCs w:val="16"/>
        </w:rPr>
        <w:t xml:space="preserve"> study a total of 95 adult patients</w:t>
      </w:r>
      <w:r w:rsidR="006C43E3">
        <w:rPr>
          <w:szCs w:val="16"/>
        </w:rPr>
        <w:t xml:space="preserve"> (mean age 53 years, range 22-79 years; 7</w:t>
      </w:r>
      <w:r w:rsidR="00CB2F54">
        <w:rPr>
          <w:szCs w:val="16"/>
        </w:rPr>
        <w:t>5</w:t>
      </w:r>
      <w:r w:rsidR="006C43E3">
        <w:rPr>
          <w:szCs w:val="16"/>
        </w:rPr>
        <w:t>% female)</w:t>
      </w:r>
      <w:r>
        <w:rPr>
          <w:szCs w:val="16"/>
        </w:rPr>
        <w:t xml:space="preserve"> with dermatomyositis were enrolled.</w:t>
      </w:r>
    </w:p>
    <w:p w14:paraId="0742F3D7" w14:textId="2404CCEB" w:rsidR="00785673" w:rsidRDefault="00785673" w:rsidP="007F5209">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pPr>
      <w:r>
        <w:t xml:space="preserve">In the First Period (16 weeks), </w:t>
      </w:r>
      <w:r w:rsidR="00B347D7">
        <w:t>subjects</w:t>
      </w:r>
      <w:r>
        <w:t xml:space="preserve"> received </w:t>
      </w:r>
      <w:r w:rsidR="00B347D7">
        <w:t xml:space="preserve">either </w:t>
      </w:r>
      <w:r>
        <w:t xml:space="preserve">2 g/kg </w:t>
      </w:r>
      <w:proofErr w:type="spellStart"/>
      <w:r>
        <w:t>Octagam</w:t>
      </w:r>
      <w:proofErr w:type="spellEnd"/>
      <w:r>
        <w:t xml:space="preserve"> 10% </w:t>
      </w:r>
      <w:r w:rsidR="00B347D7">
        <w:t xml:space="preserve">or </w:t>
      </w:r>
      <w:r>
        <w:t xml:space="preserve">placebo every 4 weeks for 4 infusion cycles. </w:t>
      </w:r>
    </w:p>
    <w:p w14:paraId="2E913A86" w14:textId="1F60DC9E" w:rsidR="007F5209" w:rsidRDefault="00B347D7" w:rsidP="002437B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both"/>
        <w:rPr>
          <w:szCs w:val="16"/>
        </w:rPr>
      </w:pPr>
      <w:bookmarkStart w:id="14" w:name="_Hlk64990895"/>
      <w:bookmarkStart w:id="15" w:name="_Hlk64473991"/>
      <w:bookmarkStart w:id="16" w:name="_Hlk64988045"/>
      <w:r>
        <w:rPr>
          <w:szCs w:val="16"/>
        </w:rPr>
        <w:lastRenderedPageBreak/>
        <w:t xml:space="preserve">Subjects </w:t>
      </w:r>
      <w:r w:rsidR="007F5209" w:rsidRPr="002437BE">
        <w:rPr>
          <w:szCs w:val="16"/>
        </w:rPr>
        <w:t xml:space="preserve">could remain on their previous DM medication (maximum dosing, </w:t>
      </w:r>
      <w:proofErr w:type="gramStart"/>
      <w:r w:rsidR="007F5209" w:rsidRPr="002437BE">
        <w:rPr>
          <w:szCs w:val="16"/>
        </w:rPr>
        <w:t>e.g.</w:t>
      </w:r>
      <w:proofErr w:type="gramEnd"/>
      <w:r w:rsidR="007F5209" w:rsidRPr="002437BE">
        <w:rPr>
          <w:szCs w:val="16"/>
        </w:rPr>
        <w:t xml:space="preserve"> </w:t>
      </w:r>
      <w:r w:rsidR="004C5DD4" w:rsidRPr="002437BE">
        <w:rPr>
          <w:szCs w:val="16"/>
        </w:rPr>
        <w:t xml:space="preserve">for corticosteroids: </w:t>
      </w:r>
      <w:r w:rsidR="007F5209" w:rsidRPr="002437BE">
        <w:rPr>
          <w:szCs w:val="16"/>
        </w:rPr>
        <w:t xml:space="preserve">20mg/day </w:t>
      </w:r>
      <w:r w:rsidR="002437BE" w:rsidRPr="002437BE">
        <w:rPr>
          <w:szCs w:val="16"/>
        </w:rPr>
        <w:t>prednisone</w:t>
      </w:r>
      <w:r w:rsidR="004C5DD4" w:rsidRPr="002437BE">
        <w:rPr>
          <w:szCs w:val="16"/>
        </w:rPr>
        <w:t xml:space="preserve"> equivalent</w:t>
      </w:r>
      <w:r w:rsidR="007F5209" w:rsidRPr="002437BE">
        <w:rPr>
          <w:szCs w:val="16"/>
        </w:rPr>
        <w:t>) if they</w:t>
      </w:r>
      <w:r>
        <w:rPr>
          <w:szCs w:val="16"/>
        </w:rPr>
        <w:t xml:space="preserve"> were on stable dosing</w:t>
      </w:r>
      <w:r w:rsidR="007F5209" w:rsidRPr="002437BE">
        <w:rPr>
          <w:szCs w:val="16"/>
        </w:rPr>
        <w:t xml:space="preserve"> prior to enrolment. During the First Period concomitant DM medication dosing had to be kept stable </w:t>
      </w:r>
      <w:r>
        <w:rPr>
          <w:szCs w:val="16"/>
        </w:rPr>
        <w:t>and</w:t>
      </w:r>
      <w:r w:rsidR="002437BE" w:rsidRPr="002437BE">
        <w:rPr>
          <w:szCs w:val="16"/>
        </w:rPr>
        <w:t xml:space="preserve"> about 93% of subjects</w:t>
      </w:r>
      <w:r>
        <w:rPr>
          <w:szCs w:val="16"/>
        </w:rPr>
        <w:t xml:space="preserve"> received corticosteroids (with appr.</w:t>
      </w:r>
      <w:r w:rsidR="0063206D" w:rsidRPr="002437BE">
        <w:rPr>
          <w:szCs w:val="16"/>
        </w:rPr>
        <w:t xml:space="preserve"> </w:t>
      </w:r>
      <w:r w:rsidR="00137CDD">
        <w:rPr>
          <w:szCs w:val="16"/>
        </w:rPr>
        <w:t>50</w:t>
      </w:r>
      <w:r w:rsidR="0063206D" w:rsidRPr="002437BE">
        <w:rPr>
          <w:szCs w:val="16"/>
        </w:rPr>
        <w:t>% receiv</w:t>
      </w:r>
      <w:r>
        <w:rPr>
          <w:szCs w:val="16"/>
        </w:rPr>
        <w:t>ing</w:t>
      </w:r>
      <w:r w:rsidR="0063206D" w:rsidRPr="002437BE">
        <w:rPr>
          <w:szCs w:val="16"/>
        </w:rPr>
        <w:t xml:space="preserve"> ≤10mg/day</w:t>
      </w:r>
      <w:r w:rsidR="002437BE" w:rsidRPr="002437BE">
        <w:rPr>
          <w:szCs w:val="16"/>
        </w:rPr>
        <w:t xml:space="preserve"> prednisone equivalent</w:t>
      </w:r>
      <w:r>
        <w:rPr>
          <w:szCs w:val="16"/>
        </w:rPr>
        <w:t>)</w:t>
      </w:r>
      <w:bookmarkEnd w:id="14"/>
      <w:r w:rsidR="007F5209" w:rsidRPr="002437BE">
        <w:rPr>
          <w:szCs w:val="16"/>
        </w:rPr>
        <w:t>.</w:t>
      </w:r>
      <w:bookmarkEnd w:id="15"/>
    </w:p>
    <w:bookmarkEnd w:id="16"/>
    <w:p w14:paraId="147F0218" w14:textId="635FECA3" w:rsidR="00B3047A" w:rsidRDefault="00B3047A" w:rsidP="002437BE">
      <w:pPr>
        <w:spacing w:after="120"/>
        <w:jc w:val="both"/>
        <w:rPr>
          <w:b/>
          <w:bCs/>
        </w:rPr>
      </w:pPr>
      <w:r w:rsidRPr="00165E05">
        <w:rPr>
          <w:szCs w:val="16"/>
        </w:rPr>
        <w:t xml:space="preserve">The proportion of </w:t>
      </w:r>
      <w:r w:rsidR="00B347D7">
        <w:rPr>
          <w:szCs w:val="16"/>
        </w:rPr>
        <w:t>responders</w:t>
      </w:r>
      <w:r w:rsidRPr="00165E05">
        <w:rPr>
          <w:szCs w:val="16"/>
        </w:rPr>
        <w:t xml:space="preserve"> (improvement of </w:t>
      </w:r>
      <w:r w:rsidRPr="00165E05">
        <w:rPr>
          <w:szCs w:val="16"/>
        </w:rPr>
        <w:sym w:font="Symbol" w:char="F0B3"/>
      </w:r>
      <w:r w:rsidRPr="00165E05">
        <w:rPr>
          <w:szCs w:val="16"/>
        </w:rPr>
        <w:t>20 points on the TIS) at week</w:t>
      </w:r>
      <w:r w:rsidR="00224F20">
        <w:rPr>
          <w:szCs w:val="16"/>
        </w:rPr>
        <w:t xml:space="preserve"> </w:t>
      </w:r>
      <w:r w:rsidR="00F8555F">
        <w:rPr>
          <w:szCs w:val="16"/>
        </w:rPr>
        <w:t>16</w:t>
      </w:r>
      <w:r w:rsidRPr="00165E05">
        <w:rPr>
          <w:szCs w:val="16"/>
        </w:rPr>
        <w:t xml:space="preserve"> in the</w:t>
      </w:r>
      <w:r>
        <w:rPr>
          <w:szCs w:val="16"/>
        </w:rPr>
        <w:t xml:space="preserve"> </w:t>
      </w:r>
      <w:r w:rsidRPr="00B3047A">
        <w:rPr>
          <w:szCs w:val="16"/>
        </w:rPr>
        <w:t>Full Analysis Set</w:t>
      </w:r>
      <w:r>
        <w:rPr>
          <w:szCs w:val="16"/>
        </w:rPr>
        <w:t xml:space="preserve"> (</w:t>
      </w:r>
      <w:r w:rsidRPr="00165E05">
        <w:rPr>
          <w:szCs w:val="16"/>
        </w:rPr>
        <w:t>FAS</w:t>
      </w:r>
      <w:r>
        <w:rPr>
          <w:szCs w:val="16"/>
        </w:rPr>
        <w:t>)</w:t>
      </w:r>
      <w:r w:rsidRPr="00165E05">
        <w:rPr>
          <w:szCs w:val="16"/>
        </w:rPr>
        <w:t xml:space="preserve"> was </w:t>
      </w:r>
      <w:r w:rsidR="003350E1" w:rsidRPr="00784426">
        <w:rPr>
          <w:szCs w:val="16"/>
        </w:rPr>
        <w:t>significantly</w:t>
      </w:r>
      <w:r w:rsidR="003350E1">
        <w:rPr>
          <w:szCs w:val="16"/>
        </w:rPr>
        <w:t xml:space="preserve"> </w:t>
      </w:r>
      <w:r w:rsidRPr="00165E05">
        <w:rPr>
          <w:szCs w:val="16"/>
        </w:rPr>
        <w:t xml:space="preserve">higher in the </w:t>
      </w:r>
      <w:proofErr w:type="spellStart"/>
      <w:r>
        <w:rPr>
          <w:szCs w:val="16"/>
        </w:rPr>
        <w:t>O</w:t>
      </w:r>
      <w:r w:rsidRPr="00165E05">
        <w:rPr>
          <w:szCs w:val="16"/>
        </w:rPr>
        <w:t>ctagam</w:t>
      </w:r>
      <w:proofErr w:type="spellEnd"/>
      <w:r w:rsidRPr="00165E05">
        <w:rPr>
          <w:szCs w:val="16"/>
        </w:rPr>
        <w:t> 10% group than in the placebo group (78.72% versus 43.75%</w:t>
      </w:r>
      <w:r>
        <w:rPr>
          <w:szCs w:val="16"/>
        </w:rPr>
        <w:t xml:space="preserve">; </w:t>
      </w:r>
      <w:r w:rsidR="003350E1" w:rsidRPr="00784426">
        <w:rPr>
          <w:szCs w:val="16"/>
        </w:rPr>
        <w:t xml:space="preserve">Difference: 34.97% [95% CI: 16.70, 53.24; p=0.0008] </w:t>
      </w:r>
      <w:r w:rsidRPr="00784426">
        <w:rPr>
          <w:szCs w:val="16"/>
        </w:rPr>
        <w:t>see Table 1</w:t>
      </w:r>
      <w:r w:rsidRPr="00165E05">
        <w:rPr>
          <w:szCs w:val="16"/>
        </w:rPr>
        <w:t xml:space="preserve">). </w:t>
      </w:r>
    </w:p>
    <w:p w14:paraId="67801D45" w14:textId="2526F454" w:rsidR="00B3047A" w:rsidRDefault="00B3047A" w:rsidP="00B304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Cs w:val="16"/>
        </w:rPr>
      </w:pPr>
      <w:r w:rsidRPr="000B3C81">
        <w:rPr>
          <w:b/>
          <w:bCs/>
          <w:szCs w:val="16"/>
        </w:rPr>
        <w:t>Table 1.</w:t>
      </w:r>
      <w:r>
        <w:rPr>
          <w:szCs w:val="16"/>
        </w:rPr>
        <w:t xml:space="preserve"> Total Improvement Score –</w:t>
      </w:r>
      <w:r w:rsidR="00E73DE1">
        <w:rPr>
          <w:szCs w:val="16"/>
        </w:rPr>
        <w:t xml:space="preserve"> </w:t>
      </w:r>
      <w:r>
        <w:rPr>
          <w:szCs w:val="16"/>
        </w:rPr>
        <w:t>Proportion of Responders at Week 16</w:t>
      </w:r>
    </w:p>
    <w:tbl>
      <w:tblPr>
        <w:tblW w:w="4626" w:type="pct"/>
        <w:tblLook w:val="04A0" w:firstRow="1" w:lastRow="0" w:firstColumn="1" w:lastColumn="0" w:noHBand="0" w:noVBand="1"/>
      </w:tblPr>
      <w:tblGrid>
        <w:gridCol w:w="2216"/>
        <w:gridCol w:w="1985"/>
        <w:gridCol w:w="1321"/>
        <w:gridCol w:w="1188"/>
        <w:gridCol w:w="1410"/>
      </w:tblGrid>
      <w:tr w:rsidR="00B3047A" w:rsidRPr="00490F63" w14:paraId="0FEF539B" w14:textId="77777777" w:rsidTr="00C87640">
        <w:tc>
          <w:tcPr>
            <w:tcW w:w="2304" w:type="dxa"/>
            <w:tcBorders>
              <w:top w:val="single" w:sz="4" w:space="0" w:color="auto"/>
              <w:left w:val="single" w:sz="4" w:space="0" w:color="auto"/>
              <w:bottom w:val="single" w:sz="4" w:space="0" w:color="auto"/>
              <w:right w:val="single" w:sz="4" w:space="0" w:color="auto"/>
            </w:tcBorders>
            <w:vAlign w:val="center"/>
          </w:tcPr>
          <w:p w14:paraId="38EFD601" w14:textId="77777777" w:rsidR="00B3047A" w:rsidRPr="00490F63" w:rsidRDefault="00B3047A" w:rsidP="00C87640">
            <w:pPr>
              <w:pStyle w:val="ATextBericht"/>
              <w:jc w:val="center"/>
              <w:rPr>
                <w:b/>
                <w:bCs/>
                <w:sz w:val="18"/>
                <w:szCs w:val="18"/>
                <w:lang w:val="en-US"/>
              </w:rPr>
            </w:pPr>
            <w:r w:rsidRPr="00490F63">
              <w:rPr>
                <w:b/>
                <w:bCs/>
                <w:sz w:val="18"/>
                <w:szCs w:val="18"/>
                <w:lang w:val="en-US"/>
              </w:rPr>
              <w:t>Analysis</w:t>
            </w:r>
          </w:p>
        </w:tc>
        <w:tc>
          <w:tcPr>
            <w:tcW w:w="2073" w:type="dxa"/>
            <w:tcBorders>
              <w:top w:val="single" w:sz="4" w:space="0" w:color="auto"/>
              <w:left w:val="single" w:sz="4" w:space="0" w:color="auto"/>
              <w:bottom w:val="single" w:sz="12" w:space="0" w:color="auto"/>
              <w:right w:val="single" w:sz="4" w:space="0" w:color="auto"/>
            </w:tcBorders>
            <w:vAlign w:val="center"/>
          </w:tcPr>
          <w:p w14:paraId="63F1BA74" w14:textId="77777777" w:rsidR="00B3047A" w:rsidRPr="00490F63" w:rsidRDefault="00B3047A" w:rsidP="00C87640">
            <w:pPr>
              <w:pStyle w:val="ATextBericht"/>
              <w:jc w:val="center"/>
              <w:rPr>
                <w:b/>
                <w:bCs/>
                <w:sz w:val="18"/>
                <w:szCs w:val="18"/>
                <w:lang w:val="en-US"/>
              </w:rPr>
            </w:pPr>
            <w:r w:rsidRPr="00490F63">
              <w:rPr>
                <w:b/>
                <w:bCs/>
                <w:sz w:val="18"/>
                <w:szCs w:val="18"/>
                <w:lang w:val="en-US"/>
              </w:rPr>
              <w:t>TIS Response</w:t>
            </w:r>
          </w:p>
        </w:tc>
        <w:tc>
          <w:tcPr>
            <w:tcW w:w="1321" w:type="dxa"/>
            <w:tcBorders>
              <w:top w:val="single" w:sz="4" w:space="0" w:color="auto"/>
              <w:left w:val="single" w:sz="4" w:space="0" w:color="auto"/>
              <w:bottom w:val="single" w:sz="12" w:space="0" w:color="auto"/>
              <w:right w:val="single" w:sz="4" w:space="0" w:color="auto"/>
            </w:tcBorders>
            <w:vAlign w:val="center"/>
          </w:tcPr>
          <w:p w14:paraId="4B8AE907" w14:textId="45AC4032" w:rsidR="00B3047A" w:rsidRPr="00490F63" w:rsidRDefault="00B3047A" w:rsidP="00C87640">
            <w:pPr>
              <w:pStyle w:val="ATextBericht"/>
              <w:jc w:val="center"/>
              <w:rPr>
                <w:b/>
                <w:bCs/>
                <w:iCs/>
                <w:sz w:val="18"/>
                <w:szCs w:val="18"/>
                <w:lang w:val="en-US"/>
              </w:rPr>
            </w:pPr>
            <w:proofErr w:type="spellStart"/>
            <w:r w:rsidRPr="00490F63">
              <w:rPr>
                <w:b/>
                <w:bCs/>
                <w:iCs/>
                <w:sz w:val="18"/>
                <w:szCs w:val="18"/>
                <w:lang w:val="en-US"/>
              </w:rPr>
              <w:t>Octagam</w:t>
            </w:r>
            <w:proofErr w:type="spellEnd"/>
            <w:r w:rsidRPr="00490F63">
              <w:rPr>
                <w:b/>
                <w:bCs/>
                <w:iCs/>
                <w:sz w:val="18"/>
                <w:szCs w:val="18"/>
                <w:lang w:val="en-US"/>
              </w:rPr>
              <w:t> 10%</w:t>
            </w:r>
          </w:p>
          <w:p w14:paraId="2B1A992C" w14:textId="77777777" w:rsidR="00B3047A" w:rsidRPr="00490F63" w:rsidRDefault="00B3047A" w:rsidP="00C87640">
            <w:pPr>
              <w:pStyle w:val="ATextBericht"/>
              <w:jc w:val="center"/>
              <w:rPr>
                <w:b/>
                <w:bCs/>
                <w:sz w:val="18"/>
                <w:szCs w:val="18"/>
                <w:lang w:val="en-US"/>
              </w:rPr>
            </w:pPr>
            <w:r w:rsidRPr="00490F63">
              <w:rPr>
                <w:b/>
                <w:bCs/>
                <w:sz w:val="18"/>
                <w:szCs w:val="18"/>
                <w:lang w:val="en-US"/>
              </w:rPr>
              <w:t>N=47</w:t>
            </w:r>
          </w:p>
        </w:tc>
        <w:tc>
          <w:tcPr>
            <w:tcW w:w="1214" w:type="dxa"/>
            <w:tcBorders>
              <w:top w:val="single" w:sz="4" w:space="0" w:color="auto"/>
              <w:left w:val="single" w:sz="4" w:space="0" w:color="auto"/>
              <w:bottom w:val="single" w:sz="12" w:space="0" w:color="auto"/>
              <w:right w:val="single" w:sz="4" w:space="0" w:color="auto"/>
            </w:tcBorders>
            <w:vAlign w:val="center"/>
          </w:tcPr>
          <w:p w14:paraId="3672E87A" w14:textId="77777777" w:rsidR="00B3047A" w:rsidRPr="00490F63" w:rsidRDefault="00B3047A" w:rsidP="00C87640">
            <w:pPr>
              <w:pStyle w:val="ATextBericht"/>
              <w:jc w:val="center"/>
              <w:rPr>
                <w:b/>
                <w:bCs/>
                <w:sz w:val="18"/>
                <w:szCs w:val="18"/>
                <w:lang w:val="en-US"/>
              </w:rPr>
            </w:pPr>
            <w:r w:rsidRPr="00490F63">
              <w:rPr>
                <w:b/>
                <w:bCs/>
                <w:sz w:val="18"/>
                <w:szCs w:val="18"/>
                <w:lang w:val="en-US"/>
              </w:rPr>
              <w:t>Placebo</w:t>
            </w:r>
          </w:p>
          <w:p w14:paraId="714D72B3" w14:textId="77777777" w:rsidR="00B3047A" w:rsidRPr="00490F63" w:rsidRDefault="00B3047A" w:rsidP="00C87640">
            <w:pPr>
              <w:pStyle w:val="ATextBericht"/>
              <w:jc w:val="center"/>
              <w:rPr>
                <w:b/>
                <w:bCs/>
                <w:sz w:val="18"/>
                <w:szCs w:val="18"/>
                <w:lang w:val="en-US"/>
              </w:rPr>
            </w:pPr>
            <w:r w:rsidRPr="00490F63">
              <w:rPr>
                <w:b/>
                <w:bCs/>
                <w:sz w:val="18"/>
                <w:szCs w:val="18"/>
                <w:lang w:val="en-US"/>
              </w:rPr>
              <w:t>N=48</w:t>
            </w:r>
          </w:p>
        </w:tc>
        <w:tc>
          <w:tcPr>
            <w:tcW w:w="1418" w:type="dxa"/>
            <w:tcBorders>
              <w:top w:val="single" w:sz="4" w:space="0" w:color="auto"/>
              <w:left w:val="single" w:sz="4" w:space="0" w:color="auto"/>
              <w:bottom w:val="single" w:sz="12" w:space="0" w:color="auto"/>
              <w:right w:val="single" w:sz="4" w:space="0" w:color="auto"/>
            </w:tcBorders>
            <w:vAlign w:val="center"/>
          </w:tcPr>
          <w:p w14:paraId="433629D3" w14:textId="144D2391" w:rsidR="00B3047A" w:rsidRPr="00490F63" w:rsidRDefault="00B3047A" w:rsidP="00C87640">
            <w:pPr>
              <w:pStyle w:val="ATextBericht"/>
              <w:jc w:val="center"/>
              <w:rPr>
                <w:b/>
                <w:bCs/>
                <w:sz w:val="18"/>
                <w:szCs w:val="18"/>
                <w:lang w:val="en-US"/>
              </w:rPr>
            </w:pPr>
            <w:r w:rsidRPr="00490F63">
              <w:rPr>
                <w:b/>
                <w:bCs/>
                <w:sz w:val="18"/>
                <w:szCs w:val="18"/>
                <w:lang w:val="en-US"/>
              </w:rPr>
              <w:t xml:space="preserve">Difference </w:t>
            </w:r>
            <w:r w:rsidRPr="00490F63">
              <w:rPr>
                <w:b/>
                <w:bCs/>
                <w:sz w:val="18"/>
                <w:szCs w:val="18"/>
                <w:lang w:val="en-US"/>
              </w:rPr>
              <w:br/>
            </w:r>
            <w:proofErr w:type="spellStart"/>
            <w:r w:rsidRPr="00490F63">
              <w:rPr>
                <w:b/>
                <w:bCs/>
                <w:iCs/>
                <w:sz w:val="18"/>
                <w:szCs w:val="18"/>
                <w:lang w:val="en-US"/>
              </w:rPr>
              <w:t>Octagam</w:t>
            </w:r>
            <w:proofErr w:type="spellEnd"/>
            <w:r w:rsidRPr="00490F63">
              <w:rPr>
                <w:b/>
                <w:bCs/>
                <w:iCs/>
                <w:sz w:val="18"/>
                <w:szCs w:val="18"/>
                <w:lang w:val="en-US"/>
              </w:rPr>
              <w:t> 10%</w:t>
            </w:r>
            <w:r w:rsidR="00FB7114">
              <w:rPr>
                <w:szCs w:val="24"/>
              </w:rPr>
              <w:t xml:space="preserve"> </w:t>
            </w:r>
            <w:r w:rsidRPr="00490F63">
              <w:rPr>
                <w:b/>
                <w:bCs/>
                <w:sz w:val="18"/>
                <w:szCs w:val="18"/>
                <w:lang w:val="en-US"/>
              </w:rPr>
              <w:t xml:space="preserve"> – placebo</w:t>
            </w:r>
          </w:p>
        </w:tc>
      </w:tr>
      <w:tr w:rsidR="00B3047A" w:rsidRPr="00490F63" w14:paraId="4944B877" w14:textId="77777777" w:rsidTr="00C87640">
        <w:tc>
          <w:tcPr>
            <w:tcW w:w="2304" w:type="dxa"/>
            <w:tcBorders>
              <w:top w:val="single" w:sz="4" w:space="0" w:color="auto"/>
              <w:left w:val="single" w:sz="4" w:space="0" w:color="auto"/>
              <w:right w:val="single" w:sz="4" w:space="0" w:color="auto"/>
            </w:tcBorders>
            <w:vAlign w:val="center"/>
          </w:tcPr>
          <w:p w14:paraId="6B670D84" w14:textId="77777777" w:rsidR="00B3047A" w:rsidRDefault="00B3047A" w:rsidP="00C87640">
            <w:pPr>
              <w:pStyle w:val="ATextBericht"/>
              <w:spacing w:before="0"/>
              <w:jc w:val="center"/>
              <w:rPr>
                <w:sz w:val="18"/>
                <w:szCs w:val="18"/>
                <w:lang w:val="en-US"/>
              </w:rPr>
            </w:pPr>
            <w:r w:rsidRPr="00490F63">
              <w:rPr>
                <w:sz w:val="18"/>
                <w:szCs w:val="18"/>
                <w:lang w:val="en-US"/>
              </w:rPr>
              <w:t>Primary</w:t>
            </w:r>
          </w:p>
          <w:p w14:paraId="6B7E613C" w14:textId="77777777" w:rsidR="00476536" w:rsidRPr="00490F63" w:rsidRDefault="00476536" w:rsidP="00C87640">
            <w:pPr>
              <w:pStyle w:val="ATextBericht"/>
              <w:spacing w:before="0"/>
              <w:jc w:val="center"/>
              <w:rPr>
                <w:sz w:val="18"/>
                <w:szCs w:val="18"/>
                <w:lang w:val="en-US"/>
              </w:rPr>
            </w:pPr>
            <w:r>
              <w:rPr>
                <w:sz w:val="18"/>
                <w:szCs w:val="18"/>
                <w:lang w:val="en-US"/>
              </w:rPr>
              <w:t>(at least minimal improvement)</w:t>
            </w:r>
          </w:p>
        </w:tc>
        <w:tc>
          <w:tcPr>
            <w:tcW w:w="2073" w:type="dxa"/>
            <w:tcBorders>
              <w:top w:val="single" w:sz="12" w:space="0" w:color="auto"/>
              <w:left w:val="single" w:sz="4" w:space="0" w:color="auto"/>
              <w:right w:val="single" w:sz="4" w:space="0" w:color="auto"/>
            </w:tcBorders>
            <w:vAlign w:val="center"/>
          </w:tcPr>
          <w:p w14:paraId="6A65245E" w14:textId="77777777" w:rsidR="00B3047A" w:rsidRPr="00490F63" w:rsidRDefault="00B3047A" w:rsidP="00C87640">
            <w:pPr>
              <w:pStyle w:val="ATextBericht"/>
              <w:spacing w:before="0"/>
              <w:jc w:val="center"/>
              <w:rPr>
                <w:sz w:val="18"/>
                <w:szCs w:val="18"/>
                <w:lang w:eastAsia="en-GB"/>
              </w:rPr>
            </w:pPr>
            <w:r w:rsidRPr="00490F63">
              <w:rPr>
                <w:sz w:val="18"/>
                <w:szCs w:val="18"/>
                <w:lang w:val="en-US"/>
              </w:rPr>
              <w:t>Number (%) of responders</w:t>
            </w:r>
          </w:p>
        </w:tc>
        <w:tc>
          <w:tcPr>
            <w:tcW w:w="1321" w:type="dxa"/>
            <w:tcBorders>
              <w:top w:val="single" w:sz="12" w:space="0" w:color="auto"/>
              <w:left w:val="single" w:sz="4" w:space="0" w:color="auto"/>
              <w:right w:val="single" w:sz="4" w:space="0" w:color="auto"/>
            </w:tcBorders>
            <w:vAlign w:val="center"/>
          </w:tcPr>
          <w:p w14:paraId="453127CE" w14:textId="77777777" w:rsidR="00B3047A" w:rsidRPr="00490F63" w:rsidRDefault="00B3047A" w:rsidP="00C87640">
            <w:pPr>
              <w:pStyle w:val="ATextBericht"/>
              <w:spacing w:before="0"/>
              <w:jc w:val="center"/>
              <w:rPr>
                <w:sz w:val="18"/>
                <w:szCs w:val="18"/>
                <w:lang w:val="en-US"/>
              </w:rPr>
            </w:pPr>
            <w:r w:rsidRPr="00490F63">
              <w:rPr>
                <w:sz w:val="18"/>
                <w:szCs w:val="18"/>
                <w:lang w:val="en-US"/>
              </w:rPr>
              <w:t>37 (78.72%)</w:t>
            </w:r>
          </w:p>
        </w:tc>
        <w:tc>
          <w:tcPr>
            <w:tcW w:w="1214" w:type="dxa"/>
            <w:tcBorders>
              <w:top w:val="single" w:sz="12" w:space="0" w:color="auto"/>
              <w:left w:val="single" w:sz="4" w:space="0" w:color="auto"/>
              <w:right w:val="single" w:sz="4" w:space="0" w:color="auto"/>
            </w:tcBorders>
            <w:vAlign w:val="center"/>
          </w:tcPr>
          <w:p w14:paraId="09D0D4C5" w14:textId="77777777" w:rsidR="00B3047A" w:rsidRPr="00490F63" w:rsidRDefault="00B3047A" w:rsidP="00C87640">
            <w:pPr>
              <w:pStyle w:val="ATextBericht"/>
              <w:spacing w:before="0"/>
              <w:jc w:val="center"/>
              <w:rPr>
                <w:sz w:val="18"/>
                <w:szCs w:val="18"/>
                <w:lang w:val="en-US"/>
              </w:rPr>
            </w:pPr>
            <w:r w:rsidRPr="00490F63">
              <w:rPr>
                <w:sz w:val="18"/>
                <w:szCs w:val="18"/>
                <w:lang w:val="en-US"/>
              </w:rPr>
              <w:t>21 (43.75%)</w:t>
            </w:r>
          </w:p>
        </w:tc>
        <w:tc>
          <w:tcPr>
            <w:tcW w:w="1418" w:type="dxa"/>
            <w:tcBorders>
              <w:top w:val="single" w:sz="12" w:space="0" w:color="auto"/>
              <w:left w:val="single" w:sz="4" w:space="0" w:color="auto"/>
              <w:right w:val="single" w:sz="4" w:space="0" w:color="auto"/>
            </w:tcBorders>
            <w:vAlign w:val="center"/>
          </w:tcPr>
          <w:p w14:paraId="2B7F2F42" w14:textId="77777777" w:rsidR="00B3047A" w:rsidRPr="00490F63" w:rsidRDefault="00B3047A" w:rsidP="00C87640">
            <w:pPr>
              <w:pStyle w:val="ATextBericht"/>
              <w:spacing w:before="0"/>
              <w:jc w:val="center"/>
              <w:rPr>
                <w:sz w:val="18"/>
                <w:szCs w:val="18"/>
                <w:lang w:val="en-US"/>
              </w:rPr>
            </w:pPr>
          </w:p>
        </w:tc>
      </w:tr>
      <w:tr w:rsidR="00B3047A" w:rsidRPr="00490F63" w14:paraId="04724A76" w14:textId="77777777" w:rsidTr="00C87640">
        <w:tc>
          <w:tcPr>
            <w:tcW w:w="2304" w:type="dxa"/>
            <w:tcBorders>
              <w:left w:val="single" w:sz="4" w:space="0" w:color="auto"/>
              <w:right w:val="single" w:sz="4" w:space="0" w:color="auto"/>
            </w:tcBorders>
            <w:vAlign w:val="center"/>
          </w:tcPr>
          <w:p w14:paraId="6C657DA0" w14:textId="77777777" w:rsidR="00B3047A" w:rsidRPr="00490F63" w:rsidRDefault="00B3047A" w:rsidP="00C87640">
            <w:pPr>
              <w:pStyle w:val="ATextBericht"/>
              <w:spacing w:before="0"/>
              <w:jc w:val="center"/>
              <w:rPr>
                <w:sz w:val="18"/>
                <w:szCs w:val="18"/>
                <w:lang w:val="en-US"/>
              </w:rPr>
            </w:pPr>
          </w:p>
        </w:tc>
        <w:tc>
          <w:tcPr>
            <w:tcW w:w="2073" w:type="dxa"/>
            <w:tcBorders>
              <w:left w:val="single" w:sz="4" w:space="0" w:color="auto"/>
              <w:right w:val="single" w:sz="4" w:space="0" w:color="auto"/>
            </w:tcBorders>
            <w:vAlign w:val="center"/>
          </w:tcPr>
          <w:p w14:paraId="0C915F82" w14:textId="77777777" w:rsidR="00B3047A" w:rsidRPr="00490F63" w:rsidRDefault="00B3047A" w:rsidP="00C87640">
            <w:pPr>
              <w:pStyle w:val="ATextBericht"/>
              <w:spacing w:before="0"/>
              <w:jc w:val="center"/>
              <w:rPr>
                <w:sz w:val="18"/>
                <w:szCs w:val="18"/>
                <w:lang w:val="en-US" w:eastAsia="en-GB"/>
              </w:rPr>
            </w:pPr>
            <w:r w:rsidRPr="00490F63">
              <w:rPr>
                <w:sz w:val="18"/>
                <w:szCs w:val="18"/>
                <w:lang w:val="en-US"/>
              </w:rPr>
              <w:t>Difference in response rates</w:t>
            </w:r>
          </w:p>
        </w:tc>
        <w:tc>
          <w:tcPr>
            <w:tcW w:w="1321" w:type="dxa"/>
            <w:tcBorders>
              <w:left w:val="single" w:sz="4" w:space="0" w:color="auto"/>
              <w:right w:val="single" w:sz="4" w:space="0" w:color="auto"/>
            </w:tcBorders>
            <w:vAlign w:val="center"/>
          </w:tcPr>
          <w:p w14:paraId="4009C5C9" w14:textId="77777777" w:rsidR="00B3047A" w:rsidRPr="00490F63" w:rsidRDefault="00B3047A" w:rsidP="00C87640">
            <w:pPr>
              <w:pStyle w:val="ATextBericht"/>
              <w:spacing w:before="0"/>
              <w:jc w:val="center"/>
              <w:rPr>
                <w:sz w:val="18"/>
                <w:szCs w:val="18"/>
                <w:lang w:val="en-US"/>
              </w:rPr>
            </w:pPr>
          </w:p>
        </w:tc>
        <w:tc>
          <w:tcPr>
            <w:tcW w:w="1214" w:type="dxa"/>
            <w:tcBorders>
              <w:left w:val="single" w:sz="4" w:space="0" w:color="auto"/>
              <w:right w:val="single" w:sz="4" w:space="0" w:color="auto"/>
            </w:tcBorders>
            <w:vAlign w:val="center"/>
          </w:tcPr>
          <w:p w14:paraId="51F57567" w14:textId="77777777" w:rsidR="00B3047A" w:rsidRPr="00490F63" w:rsidRDefault="00B3047A" w:rsidP="00C87640">
            <w:pPr>
              <w:pStyle w:val="ATextBericht"/>
              <w:spacing w:before="0"/>
              <w:jc w:val="center"/>
              <w:rPr>
                <w:sz w:val="18"/>
                <w:szCs w:val="18"/>
                <w:lang w:val="en-US"/>
              </w:rPr>
            </w:pPr>
          </w:p>
        </w:tc>
        <w:tc>
          <w:tcPr>
            <w:tcW w:w="1418" w:type="dxa"/>
            <w:tcBorders>
              <w:left w:val="single" w:sz="4" w:space="0" w:color="auto"/>
              <w:right w:val="single" w:sz="4" w:space="0" w:color="auto"/>
            </w:tcBorders>
            <w:vAlign w:val="center"/>
          </w:tcPr>
          <w:p w14:paraId="50A5D1E6" w14:textId="77777777" w:rsidR="00B3047A" w:rsidRPr="00490F63" w:rsidRDefault="00B3047A" w:rsidP="00C87640">
            <w:pPr>
              <w:pStyle w:val="ATextBericht"/>
              <w:spacing w:before="0"/>
              <w:jc w:val="center"/>
              <w:rPr>
                <w:sz w:val="18"/>
                <w:szCs w:val="18"/>
                <w:lang w:val="en-US"/>
              </w:rPr>
            </w:pPr>
            <w:r w:rsidRPr="00490F63">
              <w:rPr>
                <w:sz w:val="18"/>
                <w:szCs w:val="18"/>
                <w:lang w:val="en-US"/>
              </w:rPr>
              <w:t>34.97</w:t>
            </w:r>
          </w:p>
        </w:tc>
      </w:tr>
      <w:tr w:rsidR="00B3047A" w:rsidRPr="00490F63" w14:paraId="3C3308FA" w14:textId="77777777" w:rsidTr="00C87640">
        <w:tc>
          <w:tcPr>
            <w:tcW w:w="2304" w:type="dxa"/>
            <w:tcBorders>
              <w:left w:val="single" w:sz="4" w:space="0" w:color="auto"/>
              <w:bottom w:val="single" w:sz="4" w:space="0" w:color="auto"/>
              <w:right w:val="single" w:sz="4" w:space="0" w:color="auto"/>
            </w:tcBorders>
            <w:vAlign w:val="center"/>
          </w:tcPr>
          <w:p w14:paraId="2F9F458B" w14:textId="77777777" w:rsidR="00B3047A" w:rsidRPr="00490F63" w:rsidRDefault="00B3047A" w:rsidP="00C87640">
            <w:pPr>
              <w:pStyle w:val="ATextBericht"/>
              <w:spacing w:before="0"/>
              <w:jc w:val="center"/>
              <w:rPr>
                <w:sz w:val="18"/>
                <w:szCs w:val="18"/>
                <w:lang w:val="en-US"/>
              </w:rPr>
            </w:pPr>
          </w:p>
        </w:tc>
        <w:tc>
          <w:tcPr>
            <w:tcW w:w="2073" w:type="dxa"/>
            <w:tcBorders>
              <w:left w:val="single" w:sz="4" w:space="0" w:color="auto"/>
              <w:bottom w:val="single" w:sz="4" w:space="0" w:color="auto"/>
              <w:right w:val="single" w:sz="4" w:space="0" w:color="auto"/>
            </w:tcBorders>
            <w:vAlign w:val="center"/>
          </w:tcPr>
          <w:p w14:paraId="0C3BB393" w14:textId="77777777" w:rsidR="00B3047A" w:rsidRPr="00490F63" w:rsidRDefault="00B3047A" w:rsidP="00C87640">
            <w:pPr>
              <w:pStyle w:val="ATextBericht"/>
              <w:spacing w:before="0"/>
              <w:jc w:val="center"/>
              <w:rPr>
                <w:sz w:val="18"/>
                <w:szCs w:val="18"/>
                <w:highlight w:val="green"/>
                <w:lang w:val="en-US"/>
              </w:rPr>
            </w:pPr>
            <w:r w:rsidRPr="00490F63">
              <w:rPr>
                <w:sz w:val="18"/>
                <w:szCs w:val="18"/>
                <w:lang w:val="en-US"/>
              </w:rPr>
              <w:t xml:space="preserve">[95% CI] p- </w:t>
            </w:r>
            <w:proofErr w:type="spellStart"/>
            <w:r w:rsidRPr="00490F63">
              <w:rPr>
                <w:sz w:val="18"/>
                <w:szCs w:val="18"/>
                <w:lang w:val="en-US"/>
              </w:rPr>
              <w:t>value</w:t>
            </w:r>
            <w:r w:rsidRPr="00490F63">
              <w:rPr>
                <w:sz w:val="18"/>
                <w:szCs w:val="18"/>
                <w:vertAlign w:val="superscript"/>
                <w:lang w:val="en-US"/>
              </w:rPr>
              <w:t>a</w:t>
            </w:r>
            <w:proofErr w:type="spellEnd"/>
          </w:p>
        </w:tc>
        <w:tc>
          <w:tcPr>
            <w:tcW w:w="1321" w:type="dxa"/>
            <w:tcBorders>
              <w:left w:val="single" w:sz="4" w:space="0" w:color="auto"/>
              <w:bottom w:val="single" w:sz="4" w:space="0" w:color="auto"/>
              <w:right w:val="single" w:sz="4" w:space="0" w:color="auto"/>
            </w:tcBorders>
            <w:vAlign w:val="center"/>
          </w:tcPr>
          <w:p w14:paraId="6964CC37" w14:textId="77777777" w:rsidR="00B3047A" w:rsidRPr="00490F63" w:rsidRDefault="00B3047A" w:rsidP="00C87640">
            <w:pPr>
              <w:pStyle w:val="ATextBericht"/>
              <w:spacing w:before="0"/>
              <w:jc w:val="center"/>
              <w:rPr>
                <w:sz w:val="18"/>
                <w:szCs w:val="18"/>
                <w:lang w:val="en-US"/>
              </w:rPr>
            </w:pPr>
          </w:p>
        </w:tc>
        <w:tc>
          <w:tcPr>
            <w:tcW w:w="1214" w:type="dxa"/>
            <w:tcBorders>
              <w:left w:val="single" w:sz="4" w:space="0" w:color="auto"/>
              <w:bottom w:val="single" w:sz="4" w:space="0" w:color="auto"/>
              <w:right w:val="single" w:sz="4" w:space="0" w:color="auto"/>
            </w:tcBorders>
            <w:vAlign w:val="center"/>
          </w:tcPr>
          <w:p w14:paraId="5AFB5490" w14:textId="77777777" w:rsidR="00B3047A" w:rsidRPr="00490F63" w:rsidRDefault="00B3047A" w:rsidP="00C87640">
            <w:pPr>
              <w:pStyle w:val="ATextBericht"/>
              <w:spacing w:before="0"/>
              <w:jc w:val="center"/>
              <w:rPr>
                <w:sz w:val="18"/>
                <w:szCs w:val="18"/>
                <w:lang w:val="en-US"/>
              </w:rPr>
            </w:pPr>
          </w:p>
        </w:tc>
        <w:tc>
          <w:tcPr>
            <w:tcW w:w="1418" w:type="dxa"/>
            <w:tcBorders>
              <w:left w:val="single" w:sz="4" w:space="0" w:color="auto"/>
              <w:bottom w:val="single" w:sz="4" w:space="0" w:color="auto"/>
              <w:right w:val="single" w:sz="4" w:space="0" w:color="auto"/>
            </w:tcBorders>
            <w:vAlign w:val="center"/>
          </w:tcPr>
          <w:p w14:paraId="76E7F871" w14:textId="77777777" w:rsidR="00B3047A" w:rsidRPr="00490F63" w:rsidRDefault="00B3047A" w:rsidP="00C87640">
            <w:pPr>
              <w:pStyle w:val="ATextBericht"/>
              <w:spacing w:before="0"/>
              <w:jc w:val="center"/>
              <w:rPr>
                <w:sz w:val="18"/>
                <w:szCs w:val="18"/>
                <w:lang w:val="en-US"/>
              </w:rPr>
            </w:pPr>
            <w:r w:rsidRPr="00490F63">
              <w:rPr>
                <w:sz w:val="18"/>
                <w:szCs w:val="18"/>
                <w:lang w:val="en-US"/>
              </w:rPr>
              <w:t>[16.70, 53.24] 0.0008</w:t>
            </w:r>
          </w:p>
        </w:tc>
      </w:tr>
      <w:tr w:rsidR="00B3047A" w:rsidRPr="00490F63" w14:paraId="476EDE47" w14:textId="77777777" w:rsidTr="00C87640">
        <w:tc>
          <w:tcPr>
            <w:tcW w:w="2304" w:type="dxa"/>
            <w:vMerge w:val="restart"/>
            <w:tcBorders>
              <w:top w:val="single" w:sz="4" w:space="0" w:color="auto"/>
              <w:left w:val="single" w:sz="4" w:space="0" w:color="auto"/>
              <w:bottom w:val="single" w:sz="4" w:space="0" w:color="auto"/>
              <w:right w:val="single" w:sz="4" w:space="0" w:color="auto"/>
            </w:tcBorders>
            <w:vAlign w:val="center"/>
          </w:tcPr>
          <w:p w14:paraId="0CEC3777" w14:textId="77777777" w:rsidR="00B347D7" w:rsidRDefault="00B347D7" w:rsidP="00C87640">
            <w:pPr>
              <w:pStyle w:val="ATextBericht"/>
              <w:spacing w:before="0"/>
              <w:jc w:val="center"/>
              <w:rPr>
                <w:sz w:val="18"/>
                <w:szCs w:val="18"/>
                <w:lang w:val="en-US"/>
              </w:rPr>
            </w:pPr>
            <w:r>
              <w:rPr>
                <w:sz w:val="18"/>
                <w:szCs w:val="18"/>
                <w:lang w:val="en-US"/>
              </w:rPr>
              <w:t>Secondary</w:t>
            </w:r>
          </w:p>
          <w:p w14:paraId="5D187F22" w14:textId="77777777" w:rsidR="00B3047A" w:rsidRPr="00490F63" w:rsidRDefault="00B3047A" w:rsidP="00C87640">
            <w:pPr>
              <w:pStyle w:val="ATextBericht"/>
              <w:spacing w:before="0"/>
              <w:jc w:val="center"/>
              <w:rPr>
                <w:sz w:val="18"/>
                <w:szCs w:val="18"/>
                <w:lang w:val="en-US"/>
              </w:rPr>
            </w:pPr>
            <w:r w:rsidRPr="00490F63">
              <w:rPr>
                <w:sz w:val="18"/>
                <w:szCs w:val="18"/>
                <w:lang w:val="en-US"/>
              </w:rPr>
              <w:t>At least moderate improvement</w:t>
            </w:r>
          </w:p>
        </w:tc>
        <w:tc>
          <w:tcPr>
            <w:tcW w:w="2073" w:type="dxa"/>
            <w:tcBorders>
              <w:top w:val="single" w:sz="4" w:space="0" w:color="auto"/>
              <w:left w:val="single" w:sz="4" w:space="0" w:color="auto"/>
              <w:right w:val="single" w:sz="4" w:space="0" w:color="auto"/>
            </w:tcBorders>
            <w:vAlign w:val="center"/>
          </w:tcPr>
          <w:p w14:paraId="0FD23051" w14:textId="77777777" w:rsidR="00B3047A" w:rsidRPr="00490F63" w:rsidRDefault="00B3047A" w:rsidP="00C87640">
            <w:pPr>
              <w:pStyle w:val="ATextBericht"/>
              <w:spacing w:before="0"/>
              <w:jc w:val="center"/>
              <w:rPr>
                <w:sz w:val="18"/>
                <w:szCs w:val="18"/>
                <w:lang w:val="en-US"/>
              </w:rPr>
            </w:pPr>
            <w:r w:rsidRPr="00490F63">
              <w:rPr>
                <w:sz w:val="18"/>
                <w:szCs w:val="18"/>
                <w:lang w:val="en-US"/>
              </w:rPr>
              <w:t>Number (%) of responders</w:t>
            </w:r>
          </w:p>
        </w:tc>
        <w:tc>
          <w:tcPr>
            <w:tcW w:w="1321" w:type="dxa"/>
            <w:tcBorders>
              <w:top w:val="single" w:sz="4" w:space="0" w:color="auto"/>
              <w:left w:val="single" w:sz="4" w:space="0" w:color="auto"/>
              <w:right w:val="single" w:sz="4" w:space="0" w:color="auto"/>
            </w:tcBorders>
            <w:vAlign w:val="center"/>
          </w:tcPr>
          <w:p w14:paraId="0D945BA9" w14:textId="77777777" w:rsidR="00B3047A" w:rsidRPr="00490F63" w:rsidRDefault="00B3047A" w:rsidP="00C87640">
            <w:pPr>
              <w:pStyle w:val="ATextBericht"/>
              <w:spacing w:before="0"/>
              <w:jc w:val="center"/>
              <w:rPr>
                <w:sz w:val="18"/>
                <w:szCs w:val="18"/>
                <w:lang w:val="en-US"/>
              </w:rPr>
            </w:pPr>
            <w:r w:rsidRPr="00490F63">
              <w:rPr>
                <w:sz w:val="18"/>
                <w:szCs w:val="18"/>
                <w:lang w:val="en-US"/>
              </w:rPr>
              <w:t>32 (68.09%)</w:t>
            </w:r>
          </w:p>
        </w:tc>
        <w:tc>
          <w:tcPr>
            <w:tcW w:w="1214" w:type="dxa"/>
            <w:tcBorders>
              <w:top w:val="single" w:sz="4" w:space="0" w:color="auto"/>
              <w:left w:val="single" w:sz="4" w:space="0" w:color="auto"/>
              <w:right w:val="single" w:sz="4" w:space="0" w:color="auto"/>
            </w:tcBorders>
            <w:vAlign w:val="center"/>
          </w:tcPr>
          <w:p w14:paraId="0F8D19C5" w14:textId="77777777" w:rsidR="00B3047A" w:rsidRPr="00490F63" w:rsidRDefault="00B3047A" w:rsidP="00C87640">
            <w:pPr>
              <w:pStyle w:val="ATextBericht"/>
              <w:spacing w:before="0"/>
              <w:jc w:val="center"/>
              <w:rPr>
                <w:sz w:val="18"/>
                <w:szCs w:val="18"/>
                <w:lang w:val="en-US"/>
              </w:rPr>
            </w:pPr>
            <w:r w:rsidRPr="00490F63">
              <w:rPr>
                <w:sz w:val="18"/>
                <w:szCs w:val="18"/>
                <w:lang w:val="en-US"/>
              </w:rPr>
              <w:t>11 (22.92%)</w:t>
            </w:r>
          </w:p>
        </w:tc>
        <w:tc>
          <w:tcPr>
            <w:tcW w:w="1418" w:type="dxa"/>
            <w:tcBorders>
              <w:top w:val="single" w:sz="4" w:space="0" w:color="auto"/>
              <w:left w:val="single" w:sz="4" w:space="0" w:color="auto"/>
              <w:right w:val="single" w:sz="4" w:space="0" w:color="auto"/>
            </w:tcBorders>
            <w:vAlign w:val="center"/>
          </w:tcPr>
          <w:p w14:paraId="332256F6" w14:textId="77777777" w:rsidR="00B3047A" w:rsidRPr="00490F63" w:rsidRDefault="00B3047A" w:rsidP="00C87640">
            <w:pPr>
              <w:pStyle w:val="ATextBericht"/>
              <w:spacing w:before="0"/>
              <w:jc w:val="center"/>
              <w:rPr>
                <w:sz w:val="18"/>
                <w:szCs w:val="18"/>
                <w:lang w:val="en-US"/>
              </w:rPr>
            </w:pPr>
          </w:p>
        </w:tc>
      </w:tr>
      <w:tr w:rsidR="00B3047A" w:rsidRPr="00490F63" w14:paraId="062C1EF3" w14:textId="77777777" w:rsidTr="00C87640">
        <w:tc>
          <w:tcPr>
            <w:tcW w:w="2304" w:type="dxa"/>
            <w:vMerge/>
            <w:tcBorders>
              <w:left w:val="single" w:sz="4" w:space="0" w:color="auto"/>
              <w:bottom w:val="single" w:sz="4" w:space="0" w:color="auto"/>
              <w:right w:val="single" w:sz="4" w:space="0" w:color="auto"/>
            </w:tcBorders>
            <w:vAlign w:val="center"/>
          </w:tcPr>
          <w:p w14:paraId="03522B81" w14:textId="77777777" w:rsidR="00B3047A" w:rsidRPr="00490F63" w:rsidRDefault="00B3047A" w:rsidP="00C87640">
            <w:pPr>
              <w:pStyle w:val="ATextBericht"/>
              <w:spacing w:before="0"/>
              <w:jc w:val="center"/>
              <w:rPr>
                <w:sz w:val="18"/>
                <w:szCs w:val="18"/>
                <w:lang w:val="en-US"/>
              </w:rPr>
            </w:pPr>
          </w:p>
        </w:tc>
        <w:tc>
          <w:tcPr>
            <w:tcW w:w="2073" w:type="dxa"/>
            <w:tcBorders>
              <w:left w:val="single" w:sz="4" w:space="0" w:color="auto"/>
              <w:right w:val="single" w:sz="4" w:space="0" w:color="auto"/>
            </w:tcBorders>
            <w:vAlign w:val="center"/>
          </w:tcPr>
          <w:p w14:paraId="025BA1F3" w14:textId="77777777" w:rsidR="00B3047A" w:rsidRPr="00490F63" w:rsidRDefault="00B3047A" w:rsidP="00C87640">
            <w:pPr>
              <w:pStyle w:val="ATextBericht"/>
              <w:spacing w:before="0"/>
              <w:jc w:val="center"/>
              <w:rPr>
                <w:sz w:val="18"/>
                <w:szCs w:val="18"/>
                <w:lang w:val="en-US"/>
              </w:rPr>
            </w:pPr>
            <w:r w:rsidRPr="00490F63">
              <w:rPr>
                <w:sz w:val="18"/>
                <w:szCs w:val="18"/>
                <w:lang w:val="en-US"/>
              </w:rPr>
              <w:t>Difference in response rates</w:t>
            </w:r>
          </w:p>
        </w:tc>
        <w:tc>
          <w:tcPr>
            <w:tcW w:w="1321" w:type="dxa"/>
            <w:tcBorders>
              <w:left w:val="single" w:sz="4" w:space="0" w:color="auto"/>
              <w:right w:val="single" w:sz="4" w:space="0" w:color="auto"/>
            </w:tcBorders>
            <w:vAlign w:val="center"/>
          </w:tcPr>
          <w:p w14:paraId="10608F98" w14:textId="77777777" w:rsidR="00B3047A" w:rsidRPr="00490F63" w:rsidRDefault="00B3047A" w:rsidP="00C87640">
            <w:pPr>
              <w:pStyle w:val="ATextBericht"/>
              <w:spacing w:before="0"/>
              <w:jc w:val="center"/>
              <w:rPr>
                <w:sz w:val="18"/>
                <w:szCs w:val="18"/>
                <w:lang w:val="en-US"/>
              </w:rPr>
            </w:pPr>
          </w:p>
        </w:tc>
        <w:tc>
          <w:tcPr>
            <w:tcW w:w="1214" w:type="dxa"/>
            <w:tcBorders>
              <w:left w:val="single" w:sz="4" w:space="0" w:color="auto"/>
              <w:right w:val="single" w:sz="4" w:space="0" w:color="auto"/>
            </w:tcBorders>
            <w:vAlign w:val="center"/>
          </w:tcPr>
          <w:p w14:paraId="63717A0D" w14:textId="77777777" w:rsidR="00B3047A" w:rsidRPr="00490F63" w:rsidRDefault="00B3047A" w:rsidP="00C87640">
            <w:pPr>
              <w:pStyle w:val="ATextBericht"/>
              <w:spacing w:before="0"/>
              <w:jc w:val="center"/>
              <w:rPr>
                <w:sz w:val="18"/>
                <w:szCs w:val="18"/>
                <w:lang w:val="en-US"/>
              </w:rPr>
            </w:pPr>
          </w:p>
        </w:tc>
        <w:tc>
          <w:tcPr>
            <w:tcW w:w="1418" w:type="dxa"/>
            <w:tcBorders>
              <w:left w:val="single" w:sz="4" w:space="0" w:color="auto"/>
              <w:right w:val="single" w:sz="4" w:space="0" w:color="auto"/>
            </w:tcBorders>
            <w:vAlign w:val="center"/>
          </w:tcPr>
          <w:p w14:paraId="13643403" w14:textId="77777777" w:rsidR="00B3047A" w:rsidRPr="00490F63" w:rsidRDefault="00B3047A" w:rsidP="00C87640">
            <w:pPr>
              <w:pStyle w:val="ATextBericht"/>
              <w:spacing w:before="0"/>
              <w:jc w:val="center"/>
              <w:rPr>
                <w:sz w:val="18"/>
                <w:szCs w:val="18"/>
                <w:lang w:val="en-US"/>
              </w:rPr>
            </w:pPr>
            <w:r w:rsidRPr="00490F63">
              <w:rPr>
                <w:sz w:val="18"/>
                <w:szCs w:val="18"/>
                <w:lang w:val="en-US"/>
              </w:rPr>
              <w:t>45.17</w:t>
            </w:r>
          </w:p>
        </w:tc>
      </w:tr>
      <w:tr w:rsidR="00B3047A" w:rsidRPr="00490F63" w14:paraId="5E170A6B" w14:textId="77777777" w:rsidTr="00C87640">
        <w:tc>
          <w:tcPr>
            <w:tcW w:w="2304" w:type="dxa"/>
            <w:vMerge/>
            <w:tcBorders>
              <w:left w:val="single" w:sz="4" w:space="0" w:color="auto"/>
              <w:bottom w:val="single" w:sz="4" w:space="0" w:color="auto"/>
              <w:right w:val="single" w:sz="4" w:space="0" w:color="auto"/>
            </w:tcBorders>
            <w:vAlign w:val="center"/>
          </w:tcPr>
          <w:p w14:paraId="65AC0B2B" w14:textId="77777777" w:rsidR="00B3047A" w:rsidRPr="00490F63" w:rsidRDefault="00B3047A" w:rsidP="00C87640">
            <w:pPr>
              <w:pStyle w:val="ATextBericht"/>
              <w:spacing w:before="0"/>
              <w:jc w:val="center"/>
              <w:rPr>
                <w:sz w:val="18"/>
                <w:szCs w:val="18"/>
                <w:lang w:val="en-US"/>
              </w:rPr>
            </w:pPr>
          </w:p>
        </w:tc>
        <w:tc>
          <w:tcPr>
            <w:tcW w:w="2073" w:type="dxa"/>
            <w:tcBorders>
              <w:left w:val="single" w:sz="4" w:space="0" w:color="auto"/>
              <w:bottom w:val="single" w:sz="4" w:space="0" w:color="auto"/>
              <w:right w:val="single" w:sz="4" w:space="0" w:color="auto"/>
            </w:tcBorders>
            <w:vAlign w:val="center"/>
          </w:tcPr>
          <w:p w14:paraId="143567FC" w14:textId="77777777" w:rsidR="00B3047A" w:rsidRPr="00490F63" w:rsidRDefault="00B3047A" w:rsidP="00C87640">
            <w:pPr>
              <w:pStyle w:val="ATextBericht"/>
              <w:spacing w:before="0"/>
              <w:jc w:val="center"/>
              <w:rPr>
                <w:sz w:val="18"/>
                <w:szCs w:val="18"/>
                <w:lang w:val="en-US"/>
              </w:rPr>
            </w:pPr>
            <w:r w:rsidRPr="00490F63">
              <w:rPr>
                <w:sz w:val="18"/>
                <w:szCs w:val="18"/>
                <w:lang w:val="en-US"/>
              </w:rPr>
              <w:t xml:space="preserve">[95% CI] p- </w:t>
            </w:r>
            <w:proofErr w:type="spellStart"/>
            <w:r w:rsidRPr="00490F63">
              <w:rPr>
                <w:sz w:val="18"/>
                <w:szCs w:val="18"/>
                <w:lang w:val="en-US"/>
              </w:rPr>
              <w:t>value</w:t>
            </w:r>
            <w:r w:rsidRPr="00490F63">
              <w:rPr>
                <w:sz w:val="18"/>
                <w:szCs w:val="18"/>
                <w:vertAlign w:val="superscript"/>
                <w:lang w:val="en-US"/>
              </w:rPr>
              <w:t>a</w:t>
            </w:r>
            <w:proofErr w:type="spellEnd"/>
          </w:p>
        </w:tc>
        <w:tc>
          <w:tcPr>
            <w:tcW w:w="1321" w:type="dxa"/>
            <w:tcBorders>
              <w:left w:val="single" w:sz="4" w:space="0" w:color="auto"/>
              <w:bottom w:val="single" w:sz="4" w:space="0" w:color="auto"/>
              <w:right w:val="single" w:sz="4" w:space="0" w:color="auto"/>
            </w:tcBorders>
            <w:vAlign w:val="center"/>
          </w:tcPr>
          <w:p w14:paraId="5FE2EF95" w14:textId="77777777" w:rsidR="00B3047A" w:rsidRPr="00490F63" w:rsidRDefault="00B3047A" w:rsidP="00C87640">
            <w:pPr>
              <w:pStyle w:val="ATextBericht"/>
              <w:spacing w:before="0"/>
              <w:jc w:val="center"/>
              <w:rPr>
                <w:sz w:val="18"/>
                <w:szCs w:val="18"/>
                <w:lang w:val="en-US"/>
              </w:rPr>
            </w:pPr>
          </w:p>
        </w:tc>
        <w:tc>
          <w:tcPr>
            <w:tcW w:w="1214" w:type="dxa"/>
            <w:tcBorders>
              <w:left w:val="single" w:sz="4" w:space="0" w:color="auto"/>
              <w:bottom w:val="single" w:sz="4" w:space="0" w:color="auto"/>
              <w:right w:val="single" w:sz="4" w:space="0" w:color="auto"/>
            </w:tcBorders>
            <w:vAlign w:val="center"/>
          </w:tcPr>
          <w:p w14:paraId="200E1A72" w14:textId="77777777" w:rsidR="00B3047A" w:rsidRPr="00490F63" w:rsidRDefault="00B3047A" w:rsidP="00C87640">
            <w:pPr>
              <w:pStyle w:val="ATextBericht"/>
              <w:spacing w:before="0"/>
              <w:jc w:val="center"/>
              <w:rPr>
                <w:sz w:val="18"/>
                <w:szCs w:val="18"/>
                <w:lang w:val="en-US"/>
              </w:rPr>
            </w:pPr>
          </w:p>
        </w:tc>
        <w:tc>
          <w:tcPr>
            <w:tcW w:w="1418" w:type="dxa"/>
            <w:tcBorders>
              <w:left w:val="single" w:sz="4" w:space="0" w:color="auto"/>
              <w:bottom w:val="single" w:sz="4" w:space="0" w:color="auto"/>
              <w:right w:val="single" w:sz="4" w:space="0" w:color="auto"/>
            </w:tcBorders>
            <w:vAlign w:val="center"/>
          </w:tcPr>
          <w:p w14:paraId="58194FCB" w14:textId="77777777" w:rsidR="00B3047A" w:rsidRPr="00490F63" w:rsidRDefault="00B3047A" w:rsidP="00C87640">
            <w:pPr>
              <w:pStyle w:val="ATextBericht"/>
              <w:spacing w:before="0"/>
              <w:jc w:val="center"/>
              <w:rPr>
                <w:sz w:val="18"/>
                <w:szCs w:val="18"/>
                <w:lang w:val="en-US"/>
              </w:rPr>
            </w:pPr>
            <w:r w:rsidRPr="00490F63">
              <w:rPr>
                <w:sz w:val="18"/>
                <w:szCs w:val="18"/>
                <w:lang w:val="en-US"/>
              </w:rPr>
              <w:t>[27.31, 63.03] &lt;0.0001</w:t>
            </w:r>
          </w:p>
        </w:tc>
      </w:tr>
      <w:tr w:rsidR="00B3047A" w:rsidRPr="00490F63" w14:paraId="421B9F69" w14:textId="77777777" w:rsidTr="00C87640">
        <w:tc>
          <w:tcPr>
            <w:tcW w:w="2304" w:type="dxa"/>
            <w:vMerge w:val="restart"/>
            <w:tcBorders>
              <w:top w:val="single" w:sz="4" w:space="0" w:color="auto"/>
              <w:left w:val="single" w:sz="4" w:space="0" w:color="auto"/>
              <w:bottom w:val="single" w:sz="4" w:space="0" w:color="auto"/>
              <w:right w:val="single" w:sz="4" w:space="0" w:color="auto"/>
            </w:tcBorders>
            <w:vAlign w:val="center"/>
          </w:tcPr>
          <w:p w14:paraId="34F78563" w14:textId="77777777" w:rsidR="00B347D7" w:rsidRDefault="00B347D7" w:rsidP="00C87640">
            <w:pPr>
              <w:pStyle w:val="ATextBericht"/>
              <w:spacing w:before="0"/>
              <w:jc w:val="center"/>
              <w:rPr>
                <w:sz w:val="18"/>
                <w:szCs w:val="18"/>
                <w:lang w:val="en-US"/>
              </w:rPr>
            </w:pPr>
            <w:r>
              <w:rPr>
                <w:sz w:val="18"/>
                <w:szCs w:val="18"/>
                <w:lang w:val="en-US"/>
              </w:rPr>
              <w:t>Secondary</w:t>
            </w:r>
          </w:p>
          <w:p w14:paraId="16C4EAA1" w14:textId="77777777" w:rsidR="00B3047A" w:rsidRPr="00490F63" w:rsidRDefault="00B3047A" w:rsidP="00C87640">
            <w:pPr>
              <w:pStyle w:val="ATextBericht"/>
              <w:spacing w:before="0"/>
              <w:jc w:val="center"/>
              <w:rPr>
                <w:sz w:val="18"/>
                <w:szCs w:val="18"/>
                <w:lang w:val="en-US"/>
              </w:rPr>
            </w:pPr>
            <w:r w:rsidRPr="00490F63">
              <w:rPr>
                <w:sz w:val="18"/>
                <w:szCs w:val="18"/>
                <w:lang w:val="en-US"/>
              </w:rPr>
              <w:t>At least major improvement</w:t>
            </w:r>
          </w:p>
        </w:tc>
        <w:tc>
          <w:tcPr>
            <w:tcW w:w="2073" w:type="dxa"/>
            <w:tcBorders>
              <w:top w:val="single" w:sz="4" w:space="0" w:color="auto"/>
              <w:left w:val="single" w:sz="4" w:space="0" w:color="auto"/>
              <w:right w:val="single" w:sz="4" w:space="0" w:color="auto"/>
            </w:tcBorders>
            <w:vAlign w:val="center"/>
          </w:tcPr>
          <w:p w14:paraId="1B69D6CA" w14:textId="77777777" w:rsidR="00B3047A" w:rsidRPr="00490F63" w:rsidRDefault="00B3047A" w:rsidP="00C87640">
            <w:pPr>
              <w:pStyle w:val="ATextBericht"/>
              <w:spacing w:before="0"/>
              <w:jc w:val="center"/>
              <w:rPr>
                <w:sz w:val="18"/>
                <w:szCs w:val="18"/>
                <w:lang w:val="en-US"/>
              </w:rPr>
            </w:pPr>
            <w:r w:rsidRPr="00490F63">
              <w:rPr>
                <w:sz w:val="18"/>
                <w:szCs w:val="18"/>
                <w:lang w:val="en-US"/>
              </w:rPr>
              <w:t>Number (%) of responders</w:t>
            </w:r>
          </w:p>
        </w:tc>
        <w:tc>
          <w:tcPr>
            <w:tcW w:w="1321" w:type="dxa"/>
            <w:tcBorders>
              <w:top w:val="single" w:sz="4" w:space="0" w:color="auto"/>
              <w:left w:val="single" w:sz="4" w:space="0" w:color="auto"/>
              <w:right w:val="single" w:sz="4" w:space="0" w:color="auto"/>
            </w:tcBorders>
            <w:vAlign w:val="center"/>
          </w:tcPr>
          <w:p w14:paraId="4661D4FB" w14:textId="77777777" w:rsidR="00B3047A" w:rsidRPr="00490F63" w:rsidRDefault="00B3047A" w:rsidP="00C87640">
            <w:pPr>
              <w:pStyle w:val="ATextBericht"/>
              <w:spacing w:before="0"/>
              <w:jc w:val="center"/>
              <w:rPr>
                <w:sz w:val="18"/>
                <w:szCs w:val="18"/>
                <w:lang w:val="en-US"/>
              </w:rPr>
            </w:pPr>
            <w:r w:rsidRPr="00490F63">
              <w:rPr>
                <w:sz w:val="18"/>
                <w:szCs w:val="18"/>
                <w:lang w:val="en-US"/>
              </w:rPr>
              <w:t>15 (31.91%)</w:t>
            </w:r>
          </w:p>
        </w:tc>
        <w:tc>
          <w:tcPr>
            <w:tcW w:w="1214" w:type="dxa"/>
            <w:tcBorders>
              <w:top w:val="single" w:sz="4" w:space="0" w:color="auto"/>
              <w:left w:val="single" w:sz="4" w:space="0" w:color="auto"/>
              <w:right w:val="single" w:sz="4" w:space="0" w:color="auto"/>
            </w:tcBorders>
            <w:vAlign w:val="center"/>
          </w:tcPr>
          <w:p w14:paraId="3234739B" w14:textId="77777777" w:rsidR="00B3047A" w:rsidRPr="00490F63" w:rsidRDefault="00B3047A" w:rsidP="00C87640">
            <w:pPr>
              <w:pStyle w:val="ATextBericht"/>
              <w:spacing w:before="0"/>
              <w:jc w:val="center"/>
              <w:rPr>
                <w:sz w:val="18"/>
                <w:szCs w:val="18"/>
                <w:lang w:val="en-US"/>
              </w:rPr>
            </w:pPr>
            <w:r w:rsidRPr="00490F63">
              <w:rPr>
                <w:sz w:val="18"/>
                <w:szCs w:val="18"/>
                <w:lang w:val="en-US"/>
              </w:rPr>
              <w:t>4 (8.33%)</w:t>
            </w:r>
          </w:p>
        </w:tc>
        <w:tc>
          <w:tcPr>
            <w:tcW w:w="1418" w:type="dxa"/>
            <w:tcBorders>
              <w:top w:val="single" w:sz="4" w:space="0" w:color="auto"/>
              <w:left w:val="single" w:sz="4" w:space="0" w:color="auto"/>
              <w:right w:val="single" w:sz="4" w:space="0" w:color="auto"/>
            </w:tcBorders>
            <w:vAlign w:val="center"/>
          </w:tcPr>
          <w:p w14:paraId="2143D3A8" w14:textId="77777777" w:rsidR="00B3047A" w:rsidRPr="00490F63" w:rsidRDefault="00B3047A" w:rsidP="00C87640">
            <w:pPr>
              <w:pStyle w:val="ATextBericht"/>
              <w:spacing w:before="0"/>
              <w:jc w:val="center"/>
              <w:rPr>
                <w:sz w:val="18"/>
                <w:szCs w:val="18"/>
                <w:lang w:val="en-US"/>
              </w:rPr>
            </w:pPr>
          </w:p>
        </w:tc>
      </w:tr>
      <w:tr w:rsidR="00B3047A" w:rsidRPr="00490F63" w14:paraId="5C025536" w14:textId="77777777" w:rsidTr="00C87640">
        <w:tc>
          <w:tcPr>
            <w:tcW w:w="2304" w:type="dxa"/>
            <w:vMerge/>
            <w:tcBorders>
              <w:left w:val="single" w:sz="4" w:space="0" w:color="auto"/>
              <w:bottom w:val="single" w:sz="4" w:space="0" w:color="auto"/>
              <w:right w:val="single" w:sz="4" w:space="0" w:color="auto"/>
            </w:tcBorders>
            <w:vAlign w:val="center"/>
          </w:tcPr>
          <w:p w14:paraId="38BF4EA5" w14:textId="77777777" w:rsidR="00B3047A" w:rsidRPr="00490F63" w:rsidRDefault="00B3047A" w:rsidP="00C87640">
            <w:pPr>
              <w:pStyle w:val="ATextBericht"/>
              <w:spacing w:before="0"/>
              <w:jc w:val="center"/>
              <w:rPr>
                <w:sz w:val="18"/>
                <w:szCs w:val="18"/>
                <w:lang w:val="en-US"/>
              </w:rPr>
            </w:pPr>
          </w:p>
        </w:tc>
        <w:tc>
          <w:tcPr>
            <w:tcW w:w="2073" w:type="dxa"/>
            <w:tcBorders>
              <w:left w:val="single" w:sz="4" w:space="0" w:color="auto"/>
              <w:right w:val="single" w:sz="4" w:space="0" w:color="auto"/>
            </w:tcBorders>
            <w:vAlign w:val="center"/>
          </w:tcPr>
          <w:p w14:paraId="1E38DF11" w14:textId="77777777" w:rsidR="00B3047A" w:rsidRPr="00490F63" w:rsidRDefault="00B3047A" w:rsidP="00C87640">
            <w:pPr>
              <w:pStyle w:val="ATextBericht"/>
              <w:spacing w:before="0"/>
              <w:jc w:val="center"/>
              <w:rPr>
                <w:sz w:val="18"/>
                <w:szCs w:val="18"/>
                <w:lang w:val="en-US"/>
              </w:rPr>
            </w:pPr>
            <w:r w:rsidRPr="00490F63">
              <w:rPr>
                <w:sz w:val="18"/>
                <w:szCs w:val="18"/>
                <w:lang w:val="en-US"/>
              </w:rPr>
              <w:t>Difference in response rates</w:t>
            </w:r>
          </w:p>
        </w:tc>
        <w:tc>
          <w:tcPr>
            <w:tcW w:w="1321" w:type="dxa"/>
            <w:tcBorders>
              <w:left w:val="single" w:sz="4" w:space="0" w:color="auto"/>
              <w:right w:val="single" w:sz="4" w:space="0" w:color="auto"/>
            </w:tcBorders>
            <w:vAlign w:val="center"/>
          </w:tcPr>
          <w:p w14:paraId="06D261D3" w14:textId="77777777" w:rsidR="00B3047A" w:rsidRPr="00490F63" w:rsidRDefault="00B3047A" w:rsidP="00C87640">
            <w:pPr>
              <w:pStyle w:val="ATextBericht"/>
              <w:spacing w:before="0"/>
              <w:jc w:val="center"/>
              <w:rPr>
                <w:sz w:val="18"/>
                <w:szCs w:val="18"/>
                <w:lang w:val="en-US"/>
              </w:rPr>
            </w:pPr>
          </w:p>
        </w:tc>
        <w:tc>
          <w:tcPr>
            <w:tcW w:w="1214" w:type="dxa"/>
            <w:tcBorders>
              <w:left w:val="single" w:sz="4" w:space="0" w:color="auto"/>
              <w:right w:val="single" w:sz="4" w:space="0" w:color="auto"/>
            </w:tcBorders>
            <w:vAlign w:val="center"/>
          </w:tcPr>
          <w:p w14:paraId="4FFF9C8A" w14:textId="77777777" w:rsidR="00B3047A" w:rsidRPr="00490F63" w:rsidRDefault="00B3047A" w:rsidP="00C87640">
            <w:pPr>
              <w:pStyle w:val="ATextBericht"/>
              <w:spacing w:before="0"/>
              <w:jc w:val="center"/>
              <w:rPr>
                <w:sz w:val="18"/>
                <w:szCs w:val="18"/>
                <w:lang w:val="en-US"/>
              </w:rPr>
            </w:pPr>
          </w:p>
        </w:tc>
        <w:tc>
          <w:tcPr>
            <w:tcW w:w="1418" w:type="dxa"/>
            <w:tcBorders>
              <w:left w:val="single" w:sz="4" w:space="0" w:color="auto"/>
              <w:right w:val="single" w:sz="4" w:space="0" w:color="auto"/>
            </w:tcBorders>
            <w:vAlign w:val="center"/>
          </w:tcPr>
          <w:p w14:paraId="1C253F83" w14:textId="77777777" w:rsidR="00B3047A" w:rsidRPr="00490F63" w:rsidRDefault="00B3047A" w:rsidP="00C87640">
            <w:pPr>
              <w:pStyle w:val="ATextBericht"/>
              <w:spacing w:before="0"/>
              <w:jc w:val="center"/>
              <w:rPr>
                <w:sz w:val="18"/>
                <w:szCs w:val="18"/>
                <w:lang w:val="en-US"/>
              </w:rPr>
            </w:pPr>
            <w:r w:rsidRPr="00490F63">
              <w:rPr>
                <w:sz w:val="18"/>
                <w:szCs w:val="18"/>
                <w:lang w:val="en-US"/>
              </w:rPr>
              <w:t>23.58</w:t>
            </w:r>
          </w:p>
        </w:tc>
      </w:tr>
      <w:tr w:rsidR="00B3047A" w:rsidRPr="00490F63" w14:paraId="173BB7E2" w14:textId="77777777" w:rsidTr="00C87640">
        <w:tc>
          <w:tcPr>
            <w:tcW w:w="2304" w:type="dxa"/>
            <w:vMerge/>
            <w:tcBorders>
              <w:left w:val="single" w:sz="4" w:space="0" w:color="auto"/>
              <w:bottom w:val="single" w:sz="4" w:space="0" w:color="auto"/>
              <w:right w:val="single" w:sz="4" w:space="0" w:color="auto"/>
            </w:tcBorders>
            <w:vAlign w:val="center"/>
          </w:tcPr>
          <w:p w14:paraId="608BE38A" w14:textId="77777777" w:rsidR="00B3047A" w:rsidRPr="00490F63" w:rsidRDefault="00B3047A" w:rsidP="00C87640">
            <w:pPr>
              <w:pStyle w:val="ATextBericht"/>
              <w:spacing w:before="0"/>
              <w:jc w:val="center"/>
              <w:rPr>
                <w:sz w:val="18"/>
                <w:szCs w:val="18"/>
                <w:lang w:val="en-US"/>
              </w:rPr>
            </w:pPr>
          </w:p>
        </w:tc>
        <w:tc>
          <w:tcPr>
            <w:tcW w:w="2073" w:type="dxa"/>
            <w:tcBorders>
              <w:left w:val="single" w:sz="4" w:space="0" w:color="auto"/>
              <w:bottom w:val="single" w:sz="4" w:space="0" w:color="auto"/>
              <w:right w:val="single" w:sz="4" w:space="0" w:color="auto"/>
            </w:tcBorders>
            <w:vAlign w:val="center"/>
          </w:tcPr>
          <w:p w14:paraId="71A506B0" w14:textId="77777777" w:rsidR="00B3047A" w:rsidRPr="00490F63" w:rsidRDefault="00B3047A" w:rsidP="00C87640">
            <w:pPr>
              <w:pStyle w:val="ATextBericht"/>
              <w:spacing w:before="0"/>
              <w:jc w:val="center"/>
              <w:rPr>
                <w:sz w:val="18"/>
                <w:szCs w:val="18"/>
                <w:lang w:val="en-US"/>
              </w:rPr>
            </w:pPr>
            <w:r w:rsidRPr="00490F63">
              <w:rPr>
                <w:sz w:val="18"/>
                <w:szCs w:val="18"/>
                <w:lang w:val="en-US"/>
              </w:rPr>
              <w:t xml:space="preserve">[95% CI] p- </w:t>
            </w:r>
            <w:proofErr w:type="spellStart"/>
            <w:r w:rsidRPr="00490F63">
              <w:rPr>
                <w:sz w:val="18"/>
                <w:szCs w:val="18"/>
                <w:lang w:val="en-US"/>
              </w:rPr>
              <w:t>value</w:t>
            </w:r>
            <w:r w:rsidRPr="00490F63">
              <w:rPr>
                <w:sz w:val="18"/>
                <w:szCs w:val="18"/>
                <w:vertAlign w:val="superscript"/>
                <w:lang w:val="en-US"/>
              </w:rPr>
              <w:t>a</w:t>
            </w:r>
            <w:proofErr w:type="spellEnd"/>
          </w:p>
        </w:tc>
        <w:tc>
          <w:tcPr>
            <w:tcW w:w="1321" w:type="dxa"/>
            <w:tcBorders>
              <w:left w:val="single" w:sz="4" w:space="0" w:color="auto"/>
              <w:bottom w:val="single" w:sz="4" w:space="0" w:color="auto"/>
              <w:right w:val="single" w:sz="4" w:space="0" w:color="auto"/>
            </w:tcBorders>
            <w:vAlign w:val="center"/>
          </w:tcPr>
          <w:p w14:paraId="62FE7ACE" w14:textId="77777777" w:rsidR="00B3047A" w:rsidRPr="00490F63" w:rsidRDefault="00B3047A" w:rsidP="00C87640">
            <w:pPr>
              <w:pStyle w:val="ATextBericht"/>
              <w:spacing w:before="0"/>
              <w:jc w:val="center"/>
              <w:rPr>
                <w:sz w:val="18"/>
                <w:szCs w:val="18"/>
                <w:lang w:val="en-US"/>
              </w:rPr>
            </w:pPr>
          </w:p>
        </w:tc>
        <w:tc>
          <w:tcPr>
            <w:tcW w:w="1214" w:type="dxa"/>
            <w:tcBorders>
              <w:left w:val="single" w:sz="4" w:space="0" w:color="auto"/>
              <w:bottom w:val="single" w:sz="4" w:space="0" w:color="auto"/>
              <w:right w:val="single" w:sz="4" w:space="0" w:color="auto"/>
            </w:tcBorders>
            <w:vAlign w:val="center"/>
          </w:tcPr>
          <w:p w14:paraId="57BA2E31" w14:textId="77777777" w:rsidR="00B3047A" w:rsidRPr="00490F63" w:rsidRDefault="00B3047A" w:rsidP="00C87640">
            <w:pPr>
              <w:pStyle w:val="ATextBericht"/>
              <w:spacing w:before="0"/>
              <w:jc w:val="center"/>
              <w:rPr>
                <w:sz w:val="18"/>
                <w:szCs w:val="18"/>
                <w:lang w:val="en-US"/>
              </w:rPr>
            </w:pPr>
          </w:p>
        </w:tc>
        <w:tc>
          <w:tcPr>
            <w:tcW w:w="1418" w:type="dxa"/>
            <w:tcBorders>
              <w:left w:val="single" w:sz="4" w:space="0" w:color="auto"/>
              <w:bottom w:val="single" w:sz="4" w:space="0" w:color="auto"/>
              <w:right w:val="single" w:sz="4" w:space="0" w:color="auto"/>
            </w:tcBorders>
            <w:vAlign w:val="center"/>
          </w:tcPr>
          <w:p w14:paraId="1C8AE339" w14:textId="77777777" w:rsidR="00B3047A" w:rsidRPr="00490F63" w:rsidRDefault="00B3047A" w:rsidP="00C87640">
            <w:pPr>
              <w:pStyle w:val="ATextBericht"/>
              <w:spacing w:before="0"/>
              <w:jc w:val="center"/>
              <w:rPr>
                <w:sz w:val="18"/>
                <w:szCs w:val="18"/>
                <w:lang w:val="en-US"/>
              </w:rPr>
            </w:pPr>
            <w:r w:rsidRPr="00490F63">
              <w:rPr>
                <w:sz w:val="18"/>
                <w:szCs w:val="18"/>
                <w:lang w:val="en-US"/>
              </w:rPr>
              <w:t>[8.13, 39.03] 0.0062</w:t>
            </w:r>
          </w:p>
        </w:tc>
      </w:tr>
    </w:tbl>
    <w:p w14:paraId="690A1917" w14:textId="77777777" w:rsidR="00B3047A" w:rsidRPr="005F74B7" w:rsidRDefault="00B3047A" w:rsidP="00B90C53">
      <w:pPr>
        <w:pStyle w:val="tablefootnote"/>
        <w:rPr>
          <w:sz w:val="16"/>
          <w:szCs w:val="16"/>
        </w:rPr>
      </w:pPr>
      <w:proofErr w:type="spellStart"/>
      <w:r w:rsidRPr="00490F63">
        <w:rPr>
          <w:sz w:val="16"/>
          <w:szCs w:val="16"/>
          <w:vertAlign w:val="superscript"/>
        </w:rPr>
        <w:t>a</w:t>
      </w:r>
      <w:r w:rsidRPr="005F74B7">
        <w:rPr>
          <w:sz w:val="16"/>
          <w:szCs w:val="16"/>
        </w:rPr>
        <w:t>Cochran</w:t>
      </w:r>
      <w:proofErr w:type="spellEnd"/>
      <w:r w:rsidRPr="005F74B7">
        <w:rPr>
          <w:sz w:val="16"/>
          <w:szCs w:val="16"/>
        </w:rPr>
        <w:t>-Mantel-Haenszel Test</w:t>
      </w:r>
    </w:p>
    <w:p w14:paraId="437165D7" w14:textId="77777777" w:rsidR="00B3047A" w:rsidRPr="005F74B7" w:rsidRDefault="00B3047A" w:rsidP="00CD7228">
      <w:pPr>
        <w:pStyle w:val="tablefootnote"/>
        <w:jc w:val="left"/>
        <w:rPr>
          <w:sz w:val="16"/>
          <w:szCs w:val="16"/>
        </w:rPr>
      </w:pPr>
      <w:r w:rsidRPr="005F74B7">
        <w:rPr>
          <w:sz w:val="16"/>
          <w:szCs w:val="16"/>
        </w:rPr>
        <w:t xml:space="preserve">‘At least moderate improvement’ defined as </w:t>
      </w:r>
      <w:r w:rsidRPr="005F74B7">
        <w:rPr>
          <w:sz w:val="16"/>
          <w:szCs w:val="16"/>
        </w:rPr>
        <w:sym w:font="Symbol" w:char="F0B3"/>
      </w:r>
      <w:r w:rsidRPr="005F74B7">
        <w:rPr>
          <w:sz w:val="16"/>
          <w:szCs w:val="16"/>
        </w:rPr>
        <w:t xml:space="preserve">40 points on the TIS and ‘At least major improvement’ defined as </w:t>
      </w:r>
      <w:r w:rsidRPr="005F74B7">
        <w:rPr>
          <w:sz w:val="16"/>
          <w:szCs w:val="16"/>
        </w:rPr>
        <w:sym w:font="Symbol" w:char="F0B3"/>
      </w:r>
      <w:r w:rsidRPr="005F74B7">
        <w:rPr>
          <w:sz w:val="16"/>
          <w:szCs w:val="16"/>
        </w:rPr>
        <w:t>60 points on the TIS</w:t>
      </w:r>
      <w:r w:rsidR="00CD7228">
        <w:rPr>
          <w:sz w:val="16"/>
          <w:szCs w:val="16"/>
        </w:rPr>
        <w:t xml:space="preserve">, </w:t>
      </w:r>
      <w:r w:rsidR="00CD7228" w:rsidRPr="00A05A6B">
        <w:rPr>
          <w:sz w:val="16"/>
          <w:szCs w:val="16"/>
        </w:rPr>
        <w:t>based on six Core Set Measures (CSM)</w:t>
      </w:r>
      <w:r w:rsidR="00CD7228">
        <w:rPr>
          <w:sz w:val="16"/>
          <w:szCs w:val="16"/>
        </w:rPr>
        <w:t>:</w:t>
      </w:r>
      <w:r w:rsidR="00CD7228" w:rsidRPr="00A05A6B">
        <w:rPr>
          <w:sz w:val="16"/>
          <w:szCs w:val="16"/>
        </w:rPr>
        <w:t xml:space="preserve"> Manual Muscle Testing MMT-8, Physician Global Disease Activity (GDA), </w:t>
      </w:r>
      <w:proofErr w:type="spellStart"/>
      <w:r w:rsidR="00CD7228" w:rsidRPr="00A05A6B">
        <w:rPr>
          <w:sz w:val="16"/>
          <w:szCs w:val="16"/>
        </w:rPr>
        <w:t>Extramuscular</w:t>
      </w:r>
      <w:proofErr w:type="spellEnd"/>
      <w:r w:rsidR="00CD7228" w:rsidRPr="00A05A6B">
        <w:rPr>
          <w:sz w:val="16"/>
          <w:szCs w:val="16"/>
        </w:rPr>
        <w:t xml:space="preserve"> Activity, Patient GDA, Health Assessment Questionnaire (HAQ), Muscle Enzymes</w:t>
      </w:r>
      <w:r w:rsidR="00CD7228">
        <w:rPr>
          <w:sz w:val="16"/>
          <w:szCs w:val="16"/>
        </w:rPr>
        <w:t>.</w:t>
      </w:r>
    </w:p>
    <w:p w14:paraId="705CC4D1" w14:textId="77777777" w:rsidR="00B3047A" w:rsidRPr="005F74B7" w:rsidRDefault="00B3047A" w:rsidP="00B3047A">
      <w:pPr>
        <w:pStyle w:val="tablefootnote"/>
        <w:rPr>
          <w:sz w:val="16"/>
          <w:szCs w:val="16"/>
        </w:rPr>
      </w:pPr>
      <w:r w:rsidRPr="005F74B7">
        <w:rPr>
          <w:sz w:val="16"/>
          <w:szCs w:val="16"/>
        </w:rPr>
        <w:t>CI=confidence interval; N=number of patients; TIS=total improvement score.</w:t>
      </w:r>
    </w:p>
    <w:p w14:paraId="31F76C5B" w14:textId="77777777" w:rsidR="00785673" w:rsidRPr="007B4CA7" w:rsidRDefault="00785673" w:rsidP="007B4CA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bCs/>
        </w:rPr>
      </w:pPr>
    </w:p>
    <w:p w14:paraId="7C049E38" w14:textId="6F0D6903" w:rsidR="00B347D7" w:rsidRPr="00D8793D" w:rsidRDefault="00B347D7" w:rsidP="00B347D7">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120" w:after="120"/>
        <w:jc w:val="both"/>
      </w:pPr>
      <w:bookmarkStart w:id="17" w:name="_Hlk54015799"/>
      <w:bookmarkStart w:id="18" w:name="_Hlk54787669"/>
      <w:r>
        <w:t xml:space="preserve">In the 24-week Open Label Extension (OLE) Period, 91 subjects went on to receive further 6 infusion cycles of </w:t>
      </w:r>
      <w:proofErr w:type="spellStart"/>
      <w:r>
        <w:t>Octagam</w:t>
      </w:r>
      <w:proofErr w:type="spellEnd"/>
      <w:r>
        <w:t xml:space="preserve"> 10% every 4 weeks.</w:t>
      </w:r>
      <w:r w:rsidRPr="00D8793D">
        <w:t xml:space="preserve"> </w:t>
      </w:r>
      <w:r>
        <w:t xml:space="preserve">Reduction of concomitant immunosuppressive treatment was permitted during this period and </w:t>
      </w:r>
      <w:r w:rsidRPr="00D8793D">
        <w:t xml:space="preserve">in 15% of </w:t>
      </w:r>
      <w:proofErr w:type="gramStart"/>
      <w:r w:rsidRPr="00D8793D">
        <w:t>subjects</w:t>
      </w:r>
      <w:proofErr w:type="gramEnd"/>
      <w:r w:rsidRPr="00D8793D">
        <w:t xml:space="preserve"> corticosteroid dosing could be tapered.</w:t>
      </w:r>
    </w:p>
    <w:bookmarkEnd w:id="17"/>
    <w:bookmarkEnd w:id="18"/>
    <w:p w14:paraId="5836CF44" w14:textId="3EB684AA" w:rsidR="00B3047A" w:rsidRDefault="00B3047A" w:rsidP="005A07BB">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rPr>
          <w:szCs w:val="16"/>
        </w:rPr>
      </w:pPr>
      <w:r w:rsidRPr="00165E05">
        <w:rPr>
          <w:szCs w:val="16"/>
        </w:rPr>
        <w:t xml:space="preserve">For all efficacy endpoints, through Week 40, the response in the </w:t>
      </w:r>
      <w:proofErr w:type="spellStart"/>
      <w:r>
        <w:rPr>
          <w:szCs w:val="16"/>
        </w:rPr>
        <w:t>O</w:t>
      </w:r>
      <w:r w:rsidRPr="00165E05">
        <w:rPr>
          <w:szCs w:val="16"/>
        </w:rPr>
        <w:t>ctagam</w:t>
      </w:r>
      <w:proofErr w:type="spellEnd"/>
      <w:r w:rsidRPr="00165E05">
        <w:rPr>
          <w:szCs w:val="16"/>
        </w:rPr>
        <w:t xml:space="preserve"> 10% group from the First Period was maintained. </w:t>
      </w:r>
      <w:r w:rsidR="00B347D7">
        <w:rPr>
          <w:szCs w:val="16"/>
        </w:rPr>
        <w:t>S</w:t>
      </w:r>
      <w:r w:rsidR="002437BE">
        <w:rPr>
          <w:szCs w:val="16"/>
        </w:rPr>
        <w:t xml:space="preserve">ubjects in the </w:t>
      </w:r>
      <w:r w:rsidRPr="00165E05">
        <w:rPr>
          <w:szCs w:val="16"/>
        </w:rPr>
        <w:t xml:space="preserve">placebo group attained a similar response after switching to </w:t>
      </w:r>
      <w:proofErr w:type="spellStart"/>
      <w:r>
        <w:rPr>
          <w:szCs w:val="16"/>
        </w:rPr>
        <w:t>O</w:t>
      </w:r>
      <w:r w:rsidRPr="00165E05">
        <w:rPr>
          <w:szCs w:val="16"/>
        </w:rPr>
        <w:t>ctagam</w:t>
      </w:r>
      <w:proofErr w:type="spellEnd"/>
      <w:r w:rsidRPr="00165E05">
        <w:rPr>
          <w:szCs w:val="16"/>
        </w:rPr>
        <w:t> 10% in the Extension Period</w:t>
      </w:r>
      <w:r w:rsidR="000C4994">
        <w:rPr>
          <w:szCs w:val="16"/>
        </w:rPr>
        <w:t xml:space="preserve"> </w:t>
      </w:r>
      <w:r w:rsidR="00226053">
        <w:rPr>
          <w:szCs w:val="16"/>
        </w:rPr>
        <w:t>(</w:t>
      </w:r>
      <w:r w:rsidR="000C4994">
        <w:rPr>
          <w:szCs w:val="16"/>
        </w:rPr>
        <w:t>see</w:t>
      </w:r>
      <w:r>
        <w:rPr>
          <w:szCs w:val="16"/>
        </w:rPr>
        <w:t xml:space="preserve"> </w:t>
      </w:r>
      <w:r w:rsidRPr="00490F63">
        <w:rPr>
          <w:szCs w:val="16"/>
        </w:rPr>
        <w:t xml:space="preserve">Table </w:t>
      </w:r>
      <w:r w:rsidR="00E7408C">
        <w:rPr>
          <w:szCs w:val="16"/>
        </w:rPr>
        <w:t>2</w:t>
      </w:r>
      <w:r w:rsidR="00226053" w:rsidRPr="00226053">
        <w:rPr>
          <w:szCs w:val="16"/>
        </w:rPr>
        <w:t>)</w:t>
      </w:r>
      <w:r w:rsidR="005A07BB">
        <w:rPr>
          <w:szCs w:val="16"/>
        </w:rPr>
        <w:t>.</w:t>
      </w:r>
    </w:p>
    <w:p w14:paraId="49BA4689" w14:textId="04267098" w:rsidR="009346A6" w:rsidRDefault="009346A6">
      <w:pPr>
        <w:rPr>
          <w:szCs w:val="16"/>
        </w:rPr>
      </w:pPr>
      <w:r>
        <w:rPr>
          <w:szCs w:val="16"/>
        </w:rPr>
        <w:br w:type="page"/>
      </w:r>
    </w:p>
    <w:p w14:paraId="51BA2EAA" w14:textId="77777777" w:rsidR="00B3047A" w:rsidRDefault="00B3047A" w:rsidP="00B304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6"/>
        </w:rPr>
      </w:pPr>
    </w:p>
    <w:p w14:paraId="0A30BFA7" w14:textId="77777777" w:rsidR="00B3047A" w:rsidRDefault="00B3047A" w:rsidP="00B304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6"/>
        </w:rPr>
      </w:pPr>
      <w:r w:rsidRPr="00E73DE1">
        <w:rPr>
          <w:b/>
          <w:bCs/>
          <w:szCs w:val="16"/>
        </w:rPr>
        <w:t xml:space="preserve">Table </w:t>
      </w:r>
      <w:r w:rsidR="00E7408C" w:rsidRPr="00E73DE1">
        <w:rPr>
          <w:b/>
          <w:bCs/>
          <w:szCs w:val="16"/>
        </w:rPr>
        <w:t>2</w:t>
      </w:r>
      <w:r w:rsidR="00E73DE1" w:rsidRPr="00E73DE1">
        <w:rPr>
          <w:b/>
          <w:bCs/>
          <w:szCs w:val="16"/>
        </w:rPr>
        <w:t>.</w:t>
      </w:r>
      <w:r>
        <w:rPr>
          <w:szCs w:val="16"/>
        </w:rPr>
        <w:t xml:space="preserve"> </w:t>
      </w:r>
      <w:r w:rsidRPr="00BE6836">
        <w:rPr>
          <w:szCs w:val="16"/>
        </w:rPr>
        <w:t>Total Improvement Score – Proportion of Responders at Week 40</w:t>
      </w:r>
    </w:p>
    <w:p w14:paraId="0B3520E5" w14:textId="77777777" w:rsidR="007B4CA7" w:rsidRDefault="007B4CA7" w:rsidP="00B3047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Cs w:val="16"/>
        </w:rPr>
      </w:pPr>
    </w:p>
    <w:tbl>
      <w:tblPr>
        <w:tblW w:w="4767" w:type="pct"/>
        <w:jc w:val="center"/>
        <w:tblLook w:val="04A0" w:firstRow="1" w:lastRow="0" w:firstColumn="1" w:lastColumn="0" w:noHBand="0" w:noVBand="1"/>
      </w:tblPr>
      <w:tblGrid>
        <w:gridCol w:w="3487"/>
        <w:gridCol w:w="1429"/>
        <w:gridCol w:w="2065"/>
        <w:gridCol w:w="1387"/>
      </w:tblGrid>
      <w:tr w:rsidR="00B3047A" w:rsidRPr="00490F63" w14:paraId="170E2DA9" w14:textId="77777777" w:rsidTr="00B347D7">
        <w:trPr>
          <w:jc w:val="center"/>
        </w:trPr>
        <w:tc>
          <w:tcPr>
            <w:tcW w:w="3633" w:type="dxa"/>
            <w:tcBorders>
              <w:top w:val="single" w:sz="4" w:space="0" w:color="auto"/>
              <w:left w:val="single" w:sz="4" w:space="0" w:color="auto"/>
              <w:bottom w:val="single" w:sz="12" w:space="0" w:color="auto"/>
              <w:right w:val="single" w:sz="4" w:space="0" w:color="auto"/>
            </w:tcBorders>
          </w:tcPr>
          <w:p w14:paraId="103B9FA6" w14:textId="77777777" w:rsidR="00B3047A" w:rsidRPr="00490F63" w:rsidRDefault="00B3047A" w:rsidP="00490F63">
            <w:pPr>
              <w:pStyle w:val="ATextBericht"/>
              <w:jc w:val="left"/>
              <w:rPr>
                <w:b/>
                <w:bCs/>
                <w:sz w:val="18"/>
                <w:szCs w:val="18"/>
                <w:lang w:val="en-US"/>
              </w:rPr>
            </w:pPr>
            <w:r w:rsidRPr="00490F63">
              <w:rPr>
                <w:b/>
                <w:bCs/>
                <w:sz w:val="18"/>
                <w:szCs w:val="18"/>
                <w:lang w:val="en-US"/>
              </w:rPr>
              <w:t>TIS Response</w:t>
            </w:r>
            <w:r w:rsidR="00B066F9" w:rsidRPr="00490F63">
              <w:rPr>
                <w:b/>
                <w:bCs/>
                <w:sz w:val="18"/>
                <w:szCs w:val="18"/>
                <w:lang w:val="en-US"/>
              </w:rPr>
              <w:t xml:space="preserve"> at Week 40</w:t>
            </w:r>
          </w:p>
        </w:tc>
        <w:tc>
          <w:tcPr>
            <w:tcW w:w="1436" w:type="dxa"/>
            <w:tcBorders>
              <w:top w:val="single" w:sz="4" w:space="0" w:color="auto"/>
              <w:left w:val="single" w:sz="4" w:space="0" w:color="auto"/>
              <w:bottom w:val="single" w:sz="12" w:space="0" w:color="auto"/>
              <w:right w:val="single" w:sz="4" w:space="0" w:color="auto"/>
            </w:tcBorders>
          </w:tcPr>
          <w:p w14:paraId="5A686E75" w14:textId="14868CE0" w:rsidR="00B3047A" w:rsidRPr="00490F63" w:rsidRDefault="00B3047A" w:rsidP="00490F63">
            <w:pPr>
              <w:pStyle w:val="ATextBericht"/>
              <w:jc w:val="left"/>
              <w:rPr>
                <w:b/>
                <w:bCs/>
                <w:sz w:val="18"/>
                <w:szCs w:val="18"/>
                <w:lang w:val="en-US"/>
              </w:rPr>
            </w:pPr>
            <w:proofErr w:type="spellStart"/>
            <w:r w:rsidRPr="00490F63">
              <w:rPr>
                <w:b/>
                <w:bCs/>
                <w:sz w:val="18"/>
                <w:szCs w:val="18"/>
                <w:lang w:val="en-US"/>
              </w:rPr>
              <w:t>Octagam</w:t>
            </w:r>
            <w:proofErr w:type="spellEnd"/>
            <w:r w:rsidRPr="00490F63">
              <w:rPr>
                <w:b/>
                <w:bCs/>
                <w:sz w:val="18"/>
                <w:szCs w:val="18"/>
                <w:lang w:val="en-US"/>
              </w:rPr>
              <w:t> 10%</w:t>
            </w:r>
          </w:p>
        </w:tc>
        <w:tc>
          <w:tcPr>
            <w:tcW w:w="2096" w:type="dxa"/>
            <w:tcBorders>
              <w:top w:val="single" w:sz="4" w:space="0" w:color="auto"/>
              <w:left w:val="single" w:sz="4" w:space="0" w:color="auto"/>
              <w:bottom w:val="single" w:sz="12" w:space="0" w:color="auto"/>
              <w:right w:val="single" w:sz="4" w:space="0" w:color="auto"/>
            </w:tcBorders>
          </w:tcPr>
          <w:p w14:paraId="73625F75" w14:textId="08D72FD7" w:rsidR="00B3047A" w:rsidRPr="00490F63" w:rsidRDefault="00B3047A" w:rsidP="00490F63">
            <w:pPr>
              <w:pStyle w:val="ATextBericht"/>
              <w:jc w:val="left"/>
              <w:rPr>
                <w:b/>
                <w:bCs/>
                <w:sz w:val="18"/>
                <w:szCs w:val="18"/>
                <w:lang w:val="en-US"/>
              </w:rPr>
            </w:pPr>
            <w:r w:rsidRPr="00490F63">
              <w:rPr>
                <w:b/>
                <w:bCs/>
                <w:sz w:val="18"/>
                <w:szCs w:val="18"/>
                <w:lang w:val="en-US"/>
              </w:rPr>
              <w:t>Placebo/</w:t>
            </w:r>
            <w:proofErr w:type="spellStart"/>
            <w:r w:rsidRPr="00490F63">
              <w:rPr>
                <w:b/>
                <w:bCs/>
                <w:sz w:val="18"/>
                <w:szCs w:val="18"/>
                <w:lang w:val="en-US"/>
              </w:rPr>
              <w:t>Octagam</w:t>
            </w:r>
            <w:proofErr w:type="spellEnd"/>
            <w:r w:rsidRPr="00490F63">
              <w:rPr>
                <w:b/>
                <w:bCs/>
                <w:sz w:val="18"/>
                <w:szCs w:val="18"/>
                <w:lang w:val="en-US"/>
              </w:rPr>
              <w:t xml:space="preserve"> 10%</w:t>
            </w:r>
          </w:p>
        </w:tc>
        <w:tc>
          <w:tcPr>
            <w:tcW w:w="1418" w:type="dxa"/>
            <w:tcBorders>
              <w:top w:val="single" w:sz="4" w:space="0" w:color="auto"/>
              <w:left w:val="single" w:sz="4" w:space="0" w:color="auto"/>
              <w:bottom w:val="single" w:sz="12" w:space="0" w:color="auto"/>
              <w:right w:val="single" w:sz="4" w:space="0" w:color="auto"/>
            </w:tcBorders>
          </w:tcPr>
          <w:p w14:paraId="1FF50D5B" w14:textId="77777777" w:rsidR="00B3047A" w:rsidRPr="00490F63" w:rsidRDefault="00B3047A" w:rsidP="00490F63">
            <w:pPr>
              <w:pStyle w:val="ATextBericht"/>
              <w:jc w:val="left"/>
              <w:rPr>
                <w:b/>
                <w:bCs/>
                <w:sz w:val="18"/>
                <w:szCs w:val="18"/>
                <w:lang w:val="en-US"/>
              </w:rPr>
            </w:pPr>
            <w:r w:rsidRPr="00490F63">
              <w:rPr>
                <w:b/>
                <w:bCs/>
                <w:sz w:val="18"/>
                <w:szCs w:val="18"/>
                <w:lang w:val="en-US"/>
              </w:rPr>
              <w:t>Total</w:t>
            </w:r>
          </w:p>
        </w:tc>
      </w:tr>
      <w:tr w:rsidR="00B3047A" w:rsidRPr="00490F63" w14:paraId="117C033B" w14:textId="77777777" w:rsidTr="00B347D7">
        <w:trPr>
          <w:jc w:val="center"/>
        </w:trPr>
        <w:tc>
          <w:tcPr>
            <w:tcW w:w="3633" w:type="dxa"/>
            <w:tcBorders>
              <w:top w:val="single" w:sz="12" w:space="0" w:color="auto"/>
              <w:left w:val="single" w:sz="4" w:space="0" w:color="auto"/>
              <w:right w:val="single" w:sz="4" w:space="0" w:color="auto"/>
            </w:tcBorders>
          </w:tcPr>
          <w:p w14:paraId="15FA5875" w14:textId="77777777" w:rsidR="00B3047A" w:rsidRPr="007B4CA7" w:rsidRDefault="00B3047A" w:rsidP="00490F63">
            <w:pPr>
              <w:pStyle w:val="ATextBericht"/>
              <w:jc w:val="left"/>
              <w:rPr>
                <w:sz w:val="18"/>
                <w:szCs w:val="18"/>
                <w:lang w:val="en-US"/>
              </w:rPr>
            </w:pPr>
            <w:r w:rsidRPr="007B4CA7">
              <w:rPr>
                <w:sz w:val="18"/>
                <w:szCs w:val="18"/>
                <w:lang w:val="en-US"/>
              </w:rPr>
              <w:t>Number (%) of responders</w:t>
            </w:r>
          </w:p>
        </w:tc>
        <w:tc>
          <w:tcPr>
            <w:tcW w:w="1436" w:type="dxa"/>
            <w:tcBorders>
              <w:top w:val="single" w:sz="12" w:space="0" w:color="auto"/>
              <w:left w:val="single" w:sz="4" w:space="0" w:color="auto"/>
              <w:right w:val="single" w:sz="4" w:space="0" w:color="auto"/>
            </w:tcBorders>
          </w:tcPr>
          <w:p w14:paraId="40202C7D" w14:textId="77777777" w:rsidR="00B3047A" w:rsidRPr="007B4CA7" w:rsidRDefault="00B3047A" w:rsidP="00490F63">
            <w:pPr>
              <w:pStyle w:val="ATextBericht"/>
              <w:jc w:val="left"/>
              <w:rPr>
                <w:sz w:val="18"/>
                <w:szCs w:val="18"/>
                <w:lang w:val="en-US"/>
              </w:rPr>
            </w:pPr>
          </w:p>
        </w:tc>
        <w:tc>
          <w:tcPr>
            <w:tcW w:w="2096" w:type="dxa"/>
            <w:tcBorders>
              <w:top w:val="single" w:sz="12" w:space="0" w:color="auto"/>
              <w:left w:val="single" w:sz="4" w:space="0" w:color="auto"/>
              <w:right w:val="single" w:sz="4" w:space="0" w:color="auto"/>
            </w:tcBorders>
          </w:tcPr>
          <w:p w14:paraId="2D5782CA" w14:textId="77777777" w:rsidR="00B3047A" w:rsidRPr="007B4CA7" w:rsidRDefault="00B3047A" w:rsidP="00490F63">
            <w:pPr>
              <w:pStyle w:val="ATextBericht"/>
              <w:jc w:val="left"/>
              <w:rPr>
                <w:sz w:val="18"/>
                <w:szCs w:val="18"/>
                <w:lang w:val="en-US"/>
              </w:rPr>
            </w:pPr>
          </w:p>
        </w:tc>
        <w:tc>
          <w:tcPr>
            <w:tcW w:w="1418" w:type="dxa"/>
            <w:tcBorders>
              <w:top w:val="single" w:sz="12" w:space="0" w:color="auto"/>
              <w:left w:val="single" w:sz="4" w:space="0" w:color="auto"/>
              <w:right w:val="single" w:sz="4" w:space="0" w:color="auto"/>
            </w:tcBorders>
          </w:tcPr>
          <w:p w14:paraId="11414EE3" w14:textId="77777777" w:rsidR="00B3047A" w:rsidRPr="007B4CA7" w:rsidRDefault="00B3047A" w:rsidP="00490F63">
            <w:pPr>
              <w:pStyle w:val="ATextBericht"/>
              <w:jc w:val="left"/>
              <w:rPr>
                <w:sz w:val="18"/>
                <w:szCs w:val="18"/>
                <w:lang w:val="en-US"/>
              </w:rPr>
            </w:pPr>
          </w:p>
        </w:tc>
      </w:tr>
      <w:tr w:rsidR="00B3047A" w:rsidRPr="00490F63" w14:paraId="6120797F" w14:textId="77777777" w:rsidTr="00B347D7">
        <w:trPr>
          <w:jc w:val="center"/>
        </w:trPr>
        <w:tc>
          <w:tcPr>
            <w:tcW w:w="3633" w:type="dxa"/>
            <w:tcBorders>
              <w:left w:val="single" w:sz="4" w:space="0" w:color="auto"/>
              <w:right w:val="single" w:sz="4" w:space="0" w:color="auto"/>
            </w:tcBorders>
          </w:tcPr>
          <w:p w14:paraId="5D949AB7" w14:textId="77777777" w:rsidR="00B3047A" w:rsidRPr="007B4CA7" w:rsidRDefault="00B3047A" w:rsidP="00490F63">
            <w:pPr>
              <w:pStyle w:val="ATextBericht"/>
              <w:jc w:val="left"/>
              <w:rPr>
                <w:sz w:val="18"/>
                <w:szCs w:val="18"/>
                <w:lang w:val="en-US"/>
              </w:rPr>
            </w:pPr>
            <w:r w:rsidRPr="007B4CA7">
              <w:rPr>
                <w:sz w:val="18"/>
                <w:szCs w:val="18"/>
                <w:lang w:val="en-US"/>
              </w:rPr>
              <w:t>At least minimal improvement</w:t>
            </w:r>
          </w:p>
        </w:tc>
        <w:tc>
          <w:tcPr>
            <w:tcW w:w="1436" w:type="dxa"/>
            <w:tcBorders>
              <w:left w:val="single" w:sz="4" w:space="0" w:color="auto"/>
              <w:right w:val="single" w:sz="4" w:space="0" w:color="auto"/>
            </w:tcBorders>
          </w:tcPr>
          <w:p w14:paraId="290045BC" w14:textId="77777777" w:rsidR="00B3047A" w:rsidRPr="007B4CA7" w:rsidRDefault="00B3047A" w:rsidP="00490F63">
            <w:pPr>
              <w:pStyle w:val="ATextBericht"/>
              <w:jc w:val="left"/>
              <w:rPr>
                <w:sz w:val="18"/>
                <w:szCs w:val="18"/>
                <w:lang w:val="en-US"/>
              </w:rPr>
            </w:pPr>
            <w:r w:rsidRPr="007B4CA7">
              <w:rPr>
                <w:sz w:val="18"/>
                <w:szCs w:val="18"/>
                <w:lang w:val="en-US"/>
              </w:rPr>
              <w:t>32/45 (71.11%)</w:t>
            </w:r>
          </w:p>
        </w:tc>
        <w:tc>
          <w:tcPr>
            <w:tcW w:w="2096" w:type="dxa"/>
            <w:tcBorders>
              <w:left w:val="single" w:sz="4" w:space="0" w:color="auto"/>
              <w:right w:val="single" w:sz="4" w:space="0" w:color="auto"/>
            </w:tcBorders>
          </w:tcPr>
          <w:p w14:paraId="0A7FFC51" w14:textId="77777777" w:rsidR="00B3047A" w:rsidRPr="007B4CA7" w:rsidRDefault="00B3047A" w:rsidP="00490F63">
            <w:pPr>
              <w:pStyle w:val="ATextBericht"/>
              <w:jc w:val="left"/>
              <w:rPr>
                <w:sz w:val="18"/>
                <w:szCs w:val="18"/>
                <w:lang w:val="en-US"/>
              </w:rPr>
            </w:pPr>
            <w:r w:rsidRPr="007B4CA7">
              <w:rPr>
                <w:sz w:val="18"/>
                <w:szCs w:val="18"/>
                <w:lang w:val="en-US"/>
              </w:rPr>
              <w:t>32/46 (69.57%)</w:t>
            </w:r>
          </w:p>
        </w:tc>
        <w:tc>
          <w:tcPr>
            <w:tcW w:w="1418" w:type="dxa"/>
            <w:tcBorders>
              <w:left w:val="single" w:sz="4" w:space="0" w:color="auto"/>
              <w:right w:val="single" w:sz="4" w:space="0" w:color="auto"/>
            </w:tcBorders>
          </w:tcPr>
          <w:p w14:paraId="6AFF59AF" w14:textId="77777777" w:rsidR="00B3047A" w:rsidRPr="007B4CA7" w:rsidRDefault="00B3047A" w:rsidP="00490F63">
            <w:pPr>
              <w:pStyle w:val="ATextBericht"/>
              <w:jc w:val="left"/>
              <w:rPr>
                <w:sz w:val="18"/>
                <w:szCs w:val="18"/>
                <w:lang w:val="en-US"/>
              </w:rPr>
            </w:pPr>
            <w:r w:rsidRPr="007B4CA7">
              <w:rPr>
                <w:sz w:val="18"/>
                <w:szCs w:val="18"/>
                <w:lang w:val="en-US"/>
              </w:rPr>
              <w:t>64/91 (70.33%)</w:t>
            </w:r>
          </w:p>
        </w:tc>
      </w:tr>
      <w:tr w:rsidR="00B3047A" w:rsidRPr="00490F63" w14:paraId="78CAE52C" w14:textId="77777777" w:rsidTr="00B347D7">
        <w:trPr>
          <w:jc w:val="center"/>
        </w:trPr>
        <w:tc>
          <w:tcPr>
            <w:tcW w:w="3633" w:type="dxa"/>
            <w:tcBorders>
              <w:left w:val="single" w:sz="4" w:space="0" w:color="auto"/>
              <w:bottom w:val="single" w:sz="4" w:space="0" w:color="auto"/>
              <w:right w:val="single" w:sz="4" w:space="0" w:color="auto"/>
            </w:tcBorders>
          </w:tcPr>
          <w:p w14:paraId="35E1DEC5" w14:textId="77777777" w:rsidR="00B3047A" w:rsidRPr="007B4CA7" w:rsidRDefault="00B3047A" w:rsidP="00490F63">
            <w:pPr>
              <w:pStyle w:val="ATextBericht"/>
              <w:jc w:val="left"/>
              <w:rPr>
                <w:sz w:val="18"/>
                <w:szCs w:val="18"/>
                <w:lang w:val="en-US"/>
              </w:rPr>
            </w:pPr>
            <w:r w:rsidRPr="007B4CA7">
              <w:rPr>
                <w:sz w:val="18"/>
                <w:szCs w:val="18"/>
                <w:lang w:val="en-US"/>
              </w:rPr>
              <w:t xml:space="preserve">95% CI </w:t>
            </w:r>
          </w:p>
        </w:tc>
        <w:tc>
          <w:tcPr>
            <w:tcW w:w="1436" w:type="dxa"/>
            <w:tcBorders>
              <w:left w:val="single" w:sz="4" w:space="0" w:color="auto"/>
              <w:bottom w:val="single" w:sz="4" w:space="0" w:color="auto"/>
              <w:right w:val="single" w:sz="4" w:space="0" w:color="auto"/>
            </w:tcBorders>
          </w:tcPr>
          <w:p w14:paraId="352BF90B" w14:textId="77777777" w:rsidR="00B3047A" w:rsidRPr="007B4CA7" w:rsidRDefault="00B3047A" w:rsidP="00490F63">
            <w:pPr>
              <w:pStyle w:val="ATextBericht"/>
              <w:jc w:val="left"/>
              <w:rPr>
                <w:sz w:val="18"/>
                <w:szCs w:val="18"/>
                <w:lang w:val="en-US"/>
              </w:rPr>
            </w:pPr>
            <w:r w:rsidRPr="007B4CA7">
              <w:rPr>
                <w:sz w:val="18"/>
                <w:szCs w:val="18"/>
                <w:lang w:val="en-US"/>
              </w:rPr>
              <w:t>57.87; 84.35</w:t>
            </w:r>
          </w:p>
        </w:tc>
        <w:tc>
          <w:tcPr>
            <w:tcW w:w="2096" w:type="dxa"/>
            <w:tcBorders>
              <w:left w:val="single" w:sz="4" w:space="0" w:color="auto"/>
              <w:bottom w:val="single" w:sz="4" w:space="0" w:color="auto"/>
              <w:right w:val="single" w:sz="4" w:space="0" w:color="auto"/>
            </w:tcBorders>
          </w:tcPr>
          <w:p w14:paraId="72FDEDCA" w14:textId="77777777" w:rsidR="00B3047A" w:rsidRPr="007B4CA7" w:rsidRDefault="00B3047A" w:rsidP="00490F63">
            <w:pPr>
              <w:pStyle w:val="ATextBericht"/>
              <w:jc w:val="left"/>
              <w:rPr>
                <w:sz w:val="18"/>
                <w:szCs w:val="18"/>
                <w:lang w:val="en-US"/>
              </w:rPr>
            </w:pPr>
            <w:r w:rsidRPr="007B4CA7">
              <w:rPr>
                <w:sz w:val="18"/>
                <w:szCs w:val="18"/>
                <w:lang w:val="en-US"/>
              </w:rPr>
              <w:t>56.27; 82.86</w:t>
            </w:r>
          </w:p>
        </w:tc>
        <w:tc>
          <w:tcPr>
            <w:tcW w:w="1418" w:type="dxa"/>
            <w:tcBorders>
              <w:left w:val="single" w:sz="4" w:space="0" w:color="auto"/>
              <w:bottom w:val="single" w:sz="4" w:space="0" w:color="auto"/>
              <w:right w:val="single" w:sz="4" w:space="0" w:color="auto"/>
            </w:tcBorders>
          </w:tcPr>
          <w:p w14:paraId="12985393" w14:textId="77777777" w:rsidR="00B3047A" w:rsidRPr="007B4CA7" w:rsidRDefault="00B3047A" w:rsidP="00490F63">
            <w:pPr>
              <w:pStyle w:val="ATextBericht"/>
              <w:jc w:val="left"/>
              <w:rPr>
                <w:sz w:val="18"/>
                <w:szCs w:val="18"/>
                <w:lang w:val="en-US"/>
              </w:rPr>
            </w:pPr>
            <w:r w:rsidRPr="007B4CA7">
              <w:rPr>
                <w:sz w:val="18"/>
                <w:szCs w:val="18"/>
                <w:lang w:val="en-US"/>
              </w:rPr>
              <w:t>60.94; 79.72</w:t>
            </w:r>
          </w:p>
        </w:tc>
      </w:tr>
    </w:tbl>
    <w:p w14:paraId="1AC6C0B9" w14:textId="5A90602D" w:rsidR="00D60F91" w:rsidRDefault="00B347D7" w:rsidP="00E73DE1">
      <w:pPr>
        <w:pStyle w:val="Text"/>
      </w:pPr>
      <w:r>
        <w:t>A</w:t>
      </w:r>
      <w:r w:rsidRPr="00EF62F0">
        <w:t xml:space="preserve"> total of 664 infusion cycles with </w:t>
      </w:r>
      <w:proofErr w:type="spellStart"/>
      <w:r w:rsidRPr="00EF62F0">
        <w:t>Octagam</w:t>
      </w:r>
      <w:proofErr w:type="spellEnd"/>
      <w:r w:rsidRPr="00EF62F0">
        <w:t xml:space="preserve"> 10% were administered</w:t>
      </w:r>
      <w:r>
        <w:t xml:space="preserve"> during the entire study</w:t>
      </w:r>
      <w:r w:rsidRPr="00EF62F0">
        <w:t xml:space="preserve">. </w:t>
      </w:r>
      <w:r w:rsidRPr="0005047E">
        <w:rPr>
          <w:rFonts w:cs="Arial"/>
          <w:szCs w:val="18"/>
        </w:rPr>
        <w:t xml:space="preserve">Overall, 62 </w:t>
      </w:r>
      <w:r>
        <w:rPr>
          <w:rFonts w:cs="Arial"/>
          <w:szCs w:val="18"/>
        </w:rPr>
        <w:t>subjects</w:t>
      </w:r>
      <w:r w:rsidRPr="0005047E">
        <w:rPr>
          <w:rFonts w:cs="Arial"/>
          <w:szCs w:val="18"/>
        </w:rPr>
        <w:t xml:space="preserve"> (65.3%) experienced 282 </w:t>
      </w:r>
      <w:r>
        <w:rPr>
          <w:rFonts w:cs="Arial"/>
          <w:szCs w:val="18"/>
        </w:rPr>
        <w:t>treatment emergent adverse event</w:t>
      </w:r>
      <w:r w:rsidRPr="0005047E">
        <w:rPr>
          <w:rFonts w:cs="Arial"/>
          <w:szCs w:val="18"/>
        </w:rPr>
        <w:t xml:space="preserve"> that were considered related to study drug</w:t>
      </w:r>
      <w:r>
        <w:rPr>
          <w:rFonts w:cs="Arial"/>
          <w:szCs w:val="18"/>
        </w:rPr>
        <w:t xml:space="preserve">, the majority of which were mild in intensity (207/282). </w:t>
      </w:r>
      <w:r w:rsidR="00D60F91">
        <w:t>During the study no patient met the criteria for</w:t>
      </w:r>
      <w:r w:rsidR="00704CCD">
        <w:t xml:space="preserve"> intravascular haemolysis</w:t>
      </w:r>
      <w:r w:rsidR="00D60F91">
        <w:t xml:space="preserve">. </w:t>
      </w:r>
    </w:p>
    <w:p w14:paraId="55DC36DF" w14:textId="77777777" w:rsidR="009670F2" w:rsidRPr="00B9031A" w:rsidRDefault="00B347D7" w:rsidP="005A07BB">
      <w:pPr>
        <w:rPr>
          <w:color w:val="auto"/>
          <w:u w:val="single"/>
          <w:lang w:val="en-US"/>
        </w:rPr>
      </w:pPr>
      <w:bookmarkStart w:id="19" w:name="_Hlk54021096"/>
      <w:r>
        <w:t>D</w:t>
      </w:r>
      <w:r>
        <w:rPr>
          <w:rFonts w:cs="Arial"/>
          <w:szCs w:val="18"/>
        </w:rPr>
        <w:t>uring the study</w:t>
      </w:r>
      <w:r w:rsidRPr="004325BF">
        <w:rPr>
          <w:rFonts w:cs="Arial"/>
          <w:szCs w:val="18"/>
        </w:rPr>
        <w:t xml:space="preserve"> a reduction in the maximum allowed infusion rate from 0.12 mL/kg/min to 0.04 mL/kg/min</w:t>
      </w:r>
      <w:r>
        <w:rPr>
          <w:rFonts w:cs="Arial"/>
          <w:szCs w:val="18"/>
        </w:rPr>
        <w:t xml:space="preserve"> was implemented</w:t>
      </w:r>
      <w:r w:rsidRPr="004325BF">
        <w:rPr>
          <w:rFonts w:cs="Arial"/>
          <w:szCs w:val="18"/>
        </w:rPr>
        <w:t xml:space="preserve">. </w:t>
      </w:r>
      <w:r>
        <w:rPr>
          <w:rFonts w:cs="Arial"/>
          <w:szCs w:val="18"/>
        </w:rPr>
        <w:t>For</w:t>
      </w:r>
      <w:r w:rsidRPr="004325BF">
        <w:rPr>
          <w:rFonts w:cs="Arial"/>
          <w:szCs w:val="18"/>
        </w:rPr>
        <w:t xml:space="preserve"> both </w:t>
      </w:r>
      <w:bookmarkStart w:id="20" w:name="_Hlk69294202"/>
      <w:r w:rsidRPr="004325BF">
        <w:rPr>
          <w:rFonts w:cs="Arial"/>
          <w:szCs w:val="18"/>
        </w:rPr>
        <w:t xml:space="preserve">the </w:t>
      </w:r>
      <w:r>
        <w:rPr>
          <w:rFonts w:cs="Arial"/>
          <w:szCs w:val="18"/>
        </w:rPr>
        <w:t>placebo-controlled</w:t>
      </w:r>
      <w:r w:rsidRPr="004325BF">
        <w:rPr>
          <w:rFonts w:cs="Arial"/>
          <w:szCs w:val="18"/>
        </w:rPr>
        <w:t xml:space="preserve"> </w:t>
      </w:r>
      <w:r>
        <w:rPr>
          <w:rFonts w:cs="Arial"/>
          <w:szCs w:val="18"/>
        </w:rPr>
        <w:t xml:space="preserve">period </w:t>
      </w:r>
      <w:r w:rsidRPr="004325BF">
        <w:rPr>
          <w:rFonts w:cs="Arial"/>
          <w:szCs w:val="18"/>
        </w:rPr>
        <w:t xml:space="preserve">and the </w:t>
      </w:r>
      <w:r>
        <w:rPr>
          <w:rFonts w:cs="Arial"/>
          <w:szCs w:val="18"/>
        </w:rPr>
        <w:t>entire study</w:t>
      </w:r>
      <w:bookmarkEnd w:id="20"/>
      <w:r w:rsidRPr="004325BF">
        <w:rPr>
          <w:rFonts w:cs="Arial"/>
          <w:szCs w:val="18"/>
        </w:rPr>
        <w:t xml:space="preserve">, </w:t>
      </w:r>
      <w:bookmarkStart w:id="21" w:name="_Hlk43739447"/>
      <w:r w:rsidRPr="004325BF">
        <w:rPr>
          <w:rFonts w:cs="Arial"/>
          <w:szCs w:val="18"/>
        </w:rPr>
        <w:t xml:space="preserve">exposure-adjusted incidence rates for </w:t>
      </w:r>
      <w:r>
        <w:rPr>
          <w:rFonts w:cs="Arial"/>
          <w:szCs w:val="18"/>
        </w:rPr>
        <w:t>thromboembolic events</w:t>
      </w:r>
      <w:r w:rsidRPr="004325BF">
        <w:rPr>
          <w:rFonts w:cs="Arial"/>
          <w:szCs w:val="18"/>
        </w:rPr>
        <w:t xml:space="preserve"> were consistently lower in the ‘After reduction’ analyses</w:t>
      </w:r>
      <w:bookmarkEnd w:id="21"/>
      <w:r w:rsidRPr="004325BF">
        <w:rPr>
          <w:rFonts w:cs="Arial"/>
          <w:szCs w:val="18"/>
        </w:rPr>
        <w:t>,</w:t>
      </w:r>
      <w:r>
        <w:rPr>
          <w:rFonts w:cs="Arial"/>
          <w:szCs w:val="18"/>
        </w:rPr>
        <w:t xml:space="preserve"> (</w:t>
      </w:r>
      <w:r w:rsidRPr="004325BF">
        <w:rPr>
          <w:rFonts w:cs="Arial"/>
          <w:szCs w:val="18"/>
        </w:rPr>
        <w:t>1.54 per 100 patient months before and 0.54 after</w:t>
      </w:r>
      <w:r>
        <w:rPr>
          <w:rFonts w:cs="Arial"/>
          <w:szCs w:val="18"/>
        </w:rPr>
        <w:t xml:space="preserve"> reduction for the entire study). It is therefore recommended to use the lowest possible infusion rate in DM patients </w:t>
      </w:r>
      <w:r w:rsidRPr="000F3A2E">
        <w:rPr>
          <w:rFonts w:cs="Arial"/>
          <w:szCs w:val="18"/>
        </w:rPr>
        <w:t>with risk factors</w:t>
      </w:r>
      <w:r>
        <w:rPr>
          <w:rFonts w:cs="Arial"/>
          <w:szCs w:val="18"/>
        </w:rPr>
        <w:t xml:space="preserve"> (see also </w:t>
      </w:r>
      <w:bookmarkEnd w:id="19"/>
      <w:r w:rsidRPr="00A067C5">
        <w:rPr>
          <w:rFonts w:cs="Arial"/>
          <w:szCs w:val="18"/>
        </w:rPr>
        <w:t>Section 4.4).</w:t>
      </w:r>
      <w:bookmarkEnd w:id="13"/>
    </w:p>
    <w:p w14:paraId="554BB1D5" w14:textId="77777777" w:rsidR="004459A1" w:rsidRDefault="004459A1" w:rsidP="00170462">
      <w:pPr>
        <w:pStyle w:val="Text"/>
        <w:rPr>
          <w:color w:val="auto"/>
          <w:u w:val="single"/>
          <w:lang w:val="en-AU"/>
        </w:rPr>
      </w:pPr>
    </w:p>
    <w:p w14:paraId="7C31F5A8" w14:textId="425F18EA" w:rsidR="00170462" w:rsidRPr="007928D0" w:rsidRDefault="007E5D11" w:rsidP="00170462">
      <w:pPr>
        <w:pStyle w:val="Text"/>
        <w:rPr>
          <w:color w:val="auto"/>
          <w:u w:val="single"/>
          <w:lang w:val="en-AU"/>
        </w:rPr>
      </w:pPr>
      <w:r w:rsidRPr="007E5D11">
        <w:rPr>
          <w:color w:val="auto"/>
          <w:u w:val="single"/>
          <w:lang w:val="en-AU"/>
        </w:rPr>
        <w:t>Paediatric population</w:t>
      </w:r>
    </w:p>
    <w:p w14:paraId="23AA1669" w14:textId="4887DF30" w:rsidR="00170462" w:rsidRDefault="00AE1D36" w:rsidP="00170462">
      <w:pPr>
        <w:pStyle w:val="Text"/>
        <w:rPr>
          <w:color w:val="auto"/>
        </w:rPr>
      </w:pPr>
      <w:r>
        <w:rPr>
          <w:color w:val="auto"/>
        </w:rPr>
        <w:t>N</w:t>
      </w:r>
      <w:r w:rsidR="007E5D11" w:rsidRPr="007E5D11">
        <w:rPr>
          <w:color w:val="auto"/>
        </w:rPr>
        <w:t>o specific studies in the paediatric population were performed</w:t>
      </w:r>
      <w:r w:rsidR="00AA409C">
        <w:rPr>
          <w:color w:val="auto"/>
        </w:rPr>
        <w:t xml:space="preserve"> with </w:t>
      </w:r>
      <w:proofErr w:type="spellStart"/>
      <w:r w:rsidR="00AA409C">
        <w:rPr>
          <w:color w:val="auto"/>
        </w:rPr>
        <w:t>Octagam</w:t>
      </w:r>
      <w:proofErr w:type="spellEnd"/>
      <w:r w:rsidR="00AA409C">
        <w:rPr>
          <w:color w:val="auto"/>
        </w:rPr>
        <w:t xml:space="preserve"> 10%</w:t>
      </w:r>
      <w:r w:rsidR="007E5D11" w:rsidRPr="007E5D11">
        <w:rPr>
          <w:color w:val="auto"/>
        </w:rPr>
        <w:t>.</w:t>
      </w:r>
    </w:p>
    <w:p w14:paraId="4F2A6EAB" w14:textId="6242C3FE" w:rsidR="00AA409C" w:rsidRDefault="00AA409C" w:rsidP="00AA409C">
      <w:pPr>
        <w:pStyle w:val="ATextBericht"/>
      </w:pPr>
      <w:r>
        <w:t xml:space="preserve">However, a prospective </w:t>
      </w:r>
      <w:r w:rsidR="00AE1D36">
        <w:t xml:space="preserve">open-label phase III </w:t>
      </w:r>
      <w:r>
        <w:t xml:space="preserve">study </w:t>
      </w:r>
      <w:r w:rsidR="00AE1D36">
        <w:t xml:space="preserve">was performed with </w:t>
      </w:r>
      <w:proofErr w:type="spellStart"/>
      <w:r w:rsidR="00AE1D36">
        <w:t>Octagam</w:t>
      </w:r>
      <w:proofErr w:type="spellEnd"/>
      <w:r w:rsidR="00AE1D36">
        <w:t xml:space="preserve"> 5% in </w:t>
      </w:r>
      <w:r>
        <w:t xml:space="preserve">17 </w:t>
      </w:r>
      <w:r w:rsidR="00AE1D36">
        <w:t xml:space="preserve">children/adolescent </w:t>
      </w:r>
      <w:r>
        <w:t xml:space="preserve">patients </w:t>
      </w:r>
      <w:r w:rsidR="00AE1D36">
        <w:t xml:space="preserve">(median age 14.0 years, range 10.5 to 16.8) suffering from primary immunodeficiency disorders. Patients were treated for a period of </w:t>
      </w:r>
      <w:r>
        <w:t>6 months. The clinical efficacy was satisfying, as the number of days with infections or fever, and the number of days out of school were low, and the type and severity of infections was comparable to those observed in the normal population. No severe infections leading to hospitalisation were observed. It is also noteworthy that the number of infectious episodes was lower, when IgG plasma levels were maintained around 6 g/L than when the IgG plasma levels were around 4 g/L.</w:t>
      </w:r>
    </w:p>
    <w:p w14:paraId="29E47CA0" w14:textId="77777777" w:rsidR="00170462" w:rsidRDefault="00170462">
      <w:pPr>
        <w:spacing w:before="120" w:after="60"/>
        <w:jc w:val="both"/>
        <w:rPr>
          <w:color w:val="auto"/>
        </w:rPr>
      </w:pPr>
    </w:p>
    <w:p w14:paraId="3D8DCC2F" w14:textId="77777777" w:rsidR="007B729F" w:rsidRDefault="007B729F">
      <w:pPr>
        <w:pStyle w:val="Formatvorlageberschrift2AutomatischBlock"/>
      </w:pPr>
      <w:proofErr w:type="spellStart"/>
      <w:r>
        <w:t>Pharmacokinetic</w:t>
      </w:r>
      <w:proofErr w:type="spellEnd"/>
      <w:r>
        <w:t xml:space="preserve"> </w:t>
      </w:r>
      <w:proofErr w:type="spellStart"/>
      <w:r>
        <w:t>properties</w:t>
      </w:r>
      <w:proofErr w:type="spellEnd"/>
    </w:p>
    <w:p w14:paraId="3251FEA7" w14:textId="369F4F75" w:rsidR="00201FF9" w:rsidRPr="00BC3C84" w:rsidRDefault="00201FF9" w:rsidP="00201FF9">
      <w:pPr>
        <w:pStyle w:val="Text"/>
        <w:keepNext/>
        <w:rPr>
          <w:color w:val="auto"/>
          <w:u w:val="single"/>
          <w:lang w:val="de-AT"/>
        </w:rPr>
      </w:pPr>
      <w:r w:rsidRPr="00BC3C84">
        <w:rPr>
          <w:color w:val="auto"/>
          <w:u w:val="single"/>
          <w:lang w:val="de-AT"/>
        </w:rPr>
        <w:t>Absorption</w:t>
      </w:r>
    </w:p>
    <w:p w14:paraId="65BB3C49" w14:textId="77777777" w:rsidR="00201FF9" w:rsidRDefault="007B729F">
      <w:pPr>
        <w:pStyle w:val="Text"/>
        <w:rPr>
          <w:color w:val="auto"/>
        </w:rPr>
      </w:pPr>
      <w:r>
        <w:rPr>
          <w:color w:val="auto"/>
        </w:rPr>
        <w:t xml:space="preserve">Human normal immunoglobulin is immediately and completely bioavailable in the recipient’s circulation after intravenous administration. </w:t>
      </w:r>
    </w:p>
    <w:p w14:paraId="5AE73971" w14:textId="77777777" w:rsidR="00201FF9" w:rsidRPr="00201FF9" w:rsidRDefault="00201FF9" w:rsidP="00201FF9">
      <w:pPr>
        <w:keepNext/>
        <w:spacing w:before="120" w:after="60"/>
        <w:jc w:val="both"/>
        <w:rPr>
          <w:color w:val="auto"/>
        </w:rPr>
      </w:pPr>
      <w:r w:rsidRPr="00201FF9">
        <w:rPr>
          <w:color w:val="auto"/>
          <w:u w:val="single"/>
          <w:lang w:val="en-AU"/>
        </w:rPr>
        <w:t>Distribution</w:t>
      </w:r>
    </w:p>
    <w:p w14:paraId="03DEFA8C" w14:textId="45015C4C" w:rsidR="007B729F" w:rsidRDefault="007B729F">
      <w:pPr>
        <w:pStyle w:val="Text"/>
        <w:rPr>
          <w:color w:val="auto"/>
        </w:rPr>
      </w:pPr>
      <w:r>
        <w:rPr>
          <w:color w:val="auto"/>
        </w:rPr>
        <w:t>It is distributed relatively rapidly between plasma and extravascular fluid, after approximately 3</w:t>
      </w:r>
      <w:r w:rsidR="00205A76">
        <w:rPr>
          <w:color w:val="auto"/>
        </w:rPr>
        <w:t>–</w:t>
      </w:r>
      <w:r>
        <w:rPr>
          <w:color w:val="auto"/>
        </w:rPr>
        <w:t>5 days equilibrium is reached between the intra- and extravascular compartments.</w:t>
      </w:r>
    </w:p>
    <w:p w14:paraId="6B6B20D6" w14:textId="76508E9F" w:rsidR="00201FF9" w:rsidRDefault="00201FF9" w:rsidP="00201FF9">
      <w:pPr>
        <w:keepNext/>
        <w:spacing w:before="120" w:after="60"/>
        <w:jc w:val="both"/>
        <w:rPr>
          <w:color w:val="auto"/>
        </w:rPr>
      </w:pPr>
      <w:r w:rsidRPr="00201FF9">
        <w:rPr>
          <w:color w:val="auto"/>
          <w:u w:val="single"/>
          <w:lang w:val="en-AU"/>
        </w:rPr>
        <w:t>Elimination</w:t>
      </w:r>
    </w:p>
    <w:p w14:paraId="1C3E8DAD" w14:textId="2DE5ED4C" w:rsidR="007B729F" w:rsidRDefault="007B729F">
      <w:pPr>
        <w:pStyle w:val="Text"/>
        <w:rPr>
          <w:color w:val="auto"/>
        </w:rPr>
      </w:pPr>
      <w:r>
        <w:rPr>
          <w:color w:val="auto"/>
        </w:rPr>
        <w:t>Human normal immunoglobulin has an average half</w:t>
      </w:r>
      <w:r w:rsidR="00C93845">
        <w:rPr>
          <w:color w:val="auto"/>
        </w:rPr>
        <w:t>-</w:t>
      </w:r>
      <w:r>
        <w:rPr>
          <w:color w:val="auto"/>
        </w:rPr>
        <w:t xml:space="preserve">life ranging from 26 to 41 days, as measured in immunodeficient patients. This half-life may vary from patient to patient, </w:t>
      </w:r>
      <w:proofErr w:type="gramStart"/>
      <w:r>
        <w:rPr>
          <w:color w:val="auto"/>
        </w:rPr>
        <w:t>in particular in</w:t>
      </w:r>
      <w:proofErr w:type="gramEnd"/>
      <w:r>
        <w:rPr>
          <w:color w:val="auto"/>
        </w:rPr>
        <w:t xml:space="preserve"> primary immunodeficiency.</w:t>
      </w:r>
      <w:r>
        <w:rPr>
          <w:i/>
          <w:iCs/>
          <w:color w:val="auto"/>
        </w:rPr>
        <w:t xml:space="preserve"> </w:t>
      </w:r>
      <w:r>
        <w:rPr>
          <w:color w:val="auto"/>
        </w:rPr>
        <w:t xml:space="preserve">For </w:t>
      </w:r>
      <w:proofErr w:type="spellStart"/>
      <w:r>
        <w:rPr>
          <w:color w:val="auto"/>
        </w:rPr>
        <w:t>Octagam</w:t>
      </w:r>
      <w:proofErr w:type="spellEnd"/>
      <w:r>
        <w:rPr>
          <w:color w:val="auto"/>
        </w:rPr>
        <w:t xml:space="preserve"> 10%, no formal pharmacokinetic data in immunodeficient patients have been obtained.</w:t>
      </w:r>
    </w:p>
    <w:p w14:paraId="26CDDDE5" w14:textId="77777777" w:rsidR="007B729F" w:rsidRDefault="007B729F">
      <w:pPr>
        <w:pStyle w:val="Text"/>
        <w:jc w:val="left"/>
        <w:rPr>
          <w:color w:val="auto"/>
        </w:rPr>
      </w:pPr>
      <w:r>
        <w:rPr>
          <w:color w:val="auto"/>
        </w:rPr>
        <w:lastRenderedPageBreak/>
        <w:t>IgG and IgG-complexes are broken down in cells of the reticuloendothelial system.</w:t>
      </w:r>
    </w:p>
    <w:p w14:paraId="42C66EEF" w14:textId="77777777" w:rsidR="007E5D11" w:rsidRPr="007E5D11" w:rsidRDefault="007E5D11" w:rsidP="007E5D11">
      <w:pPr>
        <w:pStyle w:val="Text"/>
        <w:keepNext/>
        <w:rPr>
          <w:color w:val="auto"/>
          <w:u w:val="single"/>
          <w:lang w:val="en-AU"/>
        </w:rPr>
      </w:pPr>
      <w:r w:rsidRPr="007E5D11">
        <w:rPr>
          <w:color w:val="auto"/>
          <w:u w:val="single"/>
          <w:lang w:val="en-AU"/>
        </w:rPr>
        <w:t>Paediatric population</w:t>
      </w:r>
    </w:p>
    <w:p w14:paraId="519AB15F" w14:textId="5B57BDE5" w:rsidR="00AE1D36" w:rsidRDefault="00AE1D36" w:rsidP="00AE1D36">
      <w:pPr>
        <w:pStyle w:val="Text"/>
        <w:rPr>
          <w:color w:val="auto"/>
        </w:rPr>
      </w:pPr>
      <w:r>
        <w:rPr>
          <w:color w:val="auto"/>
        </w:rPr>
        <w:t>N</w:t>
      </w:r>
      <w:r w:rsidRPr="005021BE">
        <w:rPr>
          <w:color w:val="auto"/>
        </w:rPr>
        <w:t>o specific studies in the paediatric population were performed</w:t>
      </w:r>
      <w:r>
        <w:rPr>
          <w:color w:val="auto"/>
        </w:rPr>
        <w:t xml:space="preserve"> with </w:t>
      </w:r>
      <w:proofErr w:type="spellStart"/>
      <w:r>
        <w:rPr>
          <w:color w:val="auto"/>
        </w:rPr>
        <w:t>Octagam</w:t>
      </w:r>
      <w:proofErr w:type="spellEnd"/>
      <w:r>
        <w:rPr>
          <w:color w:val="auto"/>
        </w:rPr>
        <w:t xml:space="preserve"> 10%</w:t>
      </w:r>
      <w:r w:rsidRPr="005021BE">
        <w:rPr>
          <w:color w:val="auto"/>
        </w:rPr>
        <w:t>.</w:t>
      </w:r>
    </w:p>
    <w:p w14:paraId="36936E97" w14:textId="075695D2" w:rsidR="00170462" w:rsidRPr="00AD0C3F" w:rsidRDefault="00AE1D36" w:rsidP="00AE1D36">
      <w:pPr>
        <w:pStyle w:val="Text"/>
        <w:rPr>
          <w:color w:val="auto"/>
        </w:rPr>
      </w:pPr>
      <w:r>
        <w:t xml:space="preserve">However, a prospective open-label phase III study was performed with </w:t>
      </w:r>
      <w:proofErr w:type="spellStart"/>
      <w:r>
        <w:t>Octagam</w:t>
      </w:r>
      <w:proofErr w:type="spellEnd"/>
      <w:r>
        <w:t xml:space="preserve"> 5% in 17 children/adolescent patients (median age 14.0 years, range 10.5 to 16.8) suffering from primary immunodeficiency disorders. Patients were treated for a period of 6 months.</w:t>
      </w:r>
    </w:p>
    <w:p w14:paraId="510671F8" w14:textId="53E23BA5" w:rsidR="00E51309" w:rsidRDefault="00E51309" w:rsidP="00E51309">
      <w:pPr>
        <w:pStyle w:val="ATextBericht"/>
      </w:pPr>
      <w:r>
        <w:t xml:space="preserve">During the treatment period, the average </w:t>
      </w:r>
      <w:proofErr w:type="spellStart"/>
      <w:r>
        <w:t>C</w:t>
      </w:r>
      <w:r>
        <w:rPr>
          <w:vertAlign w:val="subscript"/>
        </w:rPr>
        <w:t>max</w:t>
      </w:r>
      <w:proofErr w:type="spellEnd"/>
      <w:r>
        <w:t xml:space="preserve"> in steady state was 11.1 ± 1.9 g/L; the average trough level was 6.2 ± 1.8 g/L. The terminal half-life of total IgG was 36 ± 11 days with a median of 34 days. The volume of distribution for the total IgG was 3.7 ± 1.4 L and the total body clearance was 0.07 ± 0.02 L/day.</w:t>
      </w:r>
    </w:p>
    <w:p w14:paraId="29170388" w14:textId="77777777" w:rsidR="00201FF9" w:rsidRDefault="00201FF9" w:rsidP="00E51309">
      <w:pPr>
        <w:pStyle w:val="ATextBericht"/>
      </w:pPr>
    </w:p>
    <w:p w14:paraId="07F62694" w14:textId="77777777" w:rsidR="00201FF9" w:rsidRPr="00201FF9" w:rsidRDefault="00201FF9" w:rsidP="00201FF9">
      <w:pPr>
        <w:keepNext/>
        <w:spacing w:before="120" w:after="60"/>
        <w:jc w:val="both"/>
        <w:rPr>
          <w:color w:val="auto"/>
          <w:u w:val="single"/>
          <w:lang w:val="en-AU"/>
        </w:rPr>
      </w:pPr>
      <w:r w:rsidRPr="00201FF9">
        <w:rPr>
          <w:color w:val="auto"/>
          <w:u w:val="single"/>
          <w:lang w:val="en-AU"/>
        </w:rPr>
        <w:t>Measles pre-/post exposure prophylaxis</w:t>
      </w:r>
    </w:p>
    <w:p w14:paraId="0932C2A7" w14:textId="77777777" w:rsidR="00201FF9" w:rsidRPr="00201FF9" w:rsidRDefault="00201FF9" w:rsidP="00201FF9">
      <w:pPr>
        <w:spacing w:before="120" w:after="60"/>
        <w:jc w:val="both"/>
        <w:rPr>
          <w:color w:val="auto"/>
          <w:lang w:eastAsia="de-DE"/>
        </w:rPr>
      </w:pPr>
      <w:r w:rsidRPr="00201FF9">
        <w:rPr>
          <w:color w:val="auto"/>
          <w:lang w:eastAsia="de-DE"/>
        </w:rPr>
        <w:t xml:space="preserve">No clinical studies have been performed in susceptible patients regarding </w:t>
      </w:r>
      <w:r w:rsidRPr="00201FF9">
        <w:rPr>
          <w:i/>
          <w:iCs/>
          <w:color w:val="auto"/>
          <w:lang w:eastAsia="de-DE"/>
        </w:rPr>
        <w:t>Measles pre-/post exposure prophylaxis</w:t>
      </w:r>
      <w:r w:rsidRPr="00201FF9">
        <w:rPr>
          <w:color w:val="auto"/>
          <w:lang w:eastAsia="de-DE"/>
        </w:rPr>
        <w:t>.</w:t>
      </w:r>
    </w:p>
    <w:p w14:paraId="7B622DB2" w14:textId="127CFD06" w:rsidR="00201FF9" w:rsidRPr="00201FF9" w:rsidRDefault="00201FF9" w:rsidP="00201FF9">
      <w:pPr>
        <w:spacing w:before="120" w:after="60"/>
        <w:jc w:val="both"/>
        <w:rPr>
          <w:color w:val="auto"/>
          <w:lang w:eastAsia="de-DE"/>
        </w:rPr>
      </w:pPr>
      <w:proofErr w:type="spellStart"/>
      <w:r w:rsidRPr="00201FF9">
        <w:rPr>
          <w:color w:val="auto"/>
          <w:lang w:eastAsia="de-DE"/>
        </w:rPr>
        <w:t>Octagam</w:t>
      </w:r>
      <w:proofErr w:type="spellEnd"/>
      <w:r w:rsidRPr="00201FF9">
        <w:rPr>
          <w:color w:val="auto"/>
          <w:lang w:eastAsia="de-DE"/>
        </w:rPr>
        <w:t xml:space="preserve"> </w:t>
      </w:r>
      <w:r w:rsidR="00682506">
        <w:rPr>
          <w:color w:val="auto"/>
          <w:lang w:eastAsia="de-DE"/>
        </w:rPr>
        <w:t>10</w:t>
      </w:r>
      <w:r w:rsidRPr="00201FF9">
        <w:rPr>
          <w:color w:val="auto"/>
          <w:lang w:eastAsia="de-DE"/>
        </w:rPr>
        <w:t xml:space="preserve">% meets the minimum measles antibody potency specification threshold of 0.36x </w:t>
      </w:r>
      <w:proofErr w:type="spellStart"/>
      <w:r w:rsidRPr="00201FF9">
        <w:rPr>
          <w:color w:val="auto"/>
          <w:lang w:eastAsia="de-DE"/>
        </w:rPr>
        <w:t>Center</w:t>
      </w:r>
      <w:proofErr w:type="spellEnd"/>
      <w:r w:rsidRPr="00201FF9">
        <w:rPr>
          <w:color w:val="auto"/>
          <w:lang w:eastAsia="de-DE"/>
        </w:rPr>
        <w:t xml:space="preserve"> for Biologics Evaluation and Research (CBER) Standard. The dosing is based on pharmacokinetic calculations which take body weight, blood volume and half-life of immunoglobulins into consideration. These calculations predict a:</w:t>
      </w:r>
    </w:p>
    <w:p w14:paraId="00800C3D" w14:textId="559E8D6A" w:rsidR="00201FF9" w:rsidRPr="00201FF9" w:rsidRDefault="00201FF9" w:rsidP="00201FF9">
      <w:pPr>
        <w:spacing w:before="120" w:after="60"/>
        <w:jc w:val="both"/>
        <w:rPr>
          <w:color w:val="auto"/>
          <w:lang w:eastAsia="de-DE"/>
        </w:rPr>
      </w:pPr>
      <w:r w:rsidRPr="00201FF9">
        <w:rPr>
          <w:color w:val="auto"/>
          <w:lang w:eastAsia="de-DE"/>
        </w:rPr>
        <w:t xml:space="preserve">▪ Serum </w:t>
      </w:r>
      <w:proofErr w:type="spellStart"/>
      <w:r w:rsidRPr="00201FF9">
        <w:rPr>
          <w:color w:val="auto"/>
          <w:lang w:eastAsia="de-DE"/>
        </w:rPr>
        <w:t>titer</w:t>
      </w:r>
      <w:proofErr w:type="spellEnd"/>
      <w:r w:rsidRPr="00201FF9">
        <w:rPr>
          <w:color w:val="auto"/>
          <w:lang w:eastAsia="de-DE"/>
        </w:rPr>
        <w:t xml:space="preserve"> at 13.5 days = 270 </w:t>
      </w:r>
      <w:proofErr w:type="spellStart"/>
      <w:r w:rsidRPr="00201FF9">
        <w:rPr>
          <w:color w:val="auto"/>
          <w:lang w:eastAsia="de-DE"/>
        </w:rPr>
        <w:t>mIU</w:t>
      </w:r>
      <w:proofErr w:type="spellEnd"/>
      <w:r w:rsidRPr="00201FF9">
        <w:rPr>
          <w:color w:val="auto"/>
          <w:lang w:eastAsia="de-DE"/>
        </w:rPr>
        <w:t xml:space="preserve">/mL (dose: 0.4 g/kg) This provides a safety margin more than double that of the WHO protective </w:t>
      </w:r>
      <w:proofErr w:type="spellStart"/>
      <w:r w:rsidRPr="00201FF9">
        <w:rPr>
          <w:color w:val="auto"/>
          <w:lang w:eastAsia="de-DE"/>
        </w:rPr>
        <w:t>titer</w:t>
      </w:r>
      <w:proofErr w:type="spellEnd"/>
      <w:r w:rsidRPr="00201FF9">
        <w:rPr>
          <w:color w:val="auto"/>
          <w:lang w:eastAsia="de-DE"/>
        </w:rPr>
        <w:t xml:space="preserve"> of 120 </w:t>
      </w:r>
      <w:proofErr w:type="spellStart"/>
      <w:r w:rsidRPr="00201FF9">
        <w:rPr>
          <w:color w:val="auto"/>
          <w:lang w:eastAsia="de-DE"/>
        </w:rPr>
        <w:t>mIU</w:t>
      </w:r>
      <w:proofErr w:type="spellEnd"/>
      <w:r w:rsidRPr="00201FF9">
        <w:rPr>
          <w:color w:val="auto"/>
          <w:lang w:eastAsia="de-DE"/>
        </w:rPr>
        <w:t>/</w:t>
      </w:r>
      <w:r w:rsidR="00447CDF">
        <w:rPr>
          <w:color w:val="auto"/>
          <w:lang w:eastAsia="de-DE"/>
        </w:rPr>
        <w:t>m</w:t>
      </w:r>
      <w:r w:rsidRPr="00201FF9">
        <w:rPr>
          <w:color w:val="auto"/>
          <w:lang w:eastAsia="de-DE"/>
        </w:rPr>
        <w:t>L</w:t>
      </w:r>
    </w:p>
    <w:p w14:paraId="4B623C54" w14:textId="77777777" w:rsidR="00201FF9" w:rsidRPr="00201FF9" w:rsidRDefault="00201FF9" w:rsidP="00201FF9">
      <w:pPr>
        <w:spacing w:before="120" w:after="60"/>
        <w:jc w:val="both"/>
        <w:rPr>
          <w:color w:val="auto"/>
          <w:lang w:val="de-AT" w:eastAsia="de-DE"/>
        </w:rPr>
      </w:pPr>
      <w:r w:rsidRPr="00201FF9">
        <w:rPr>
          <w:color w:val="auto"/>
          <w:lang w:val="de-AT" w:eastAsia="de-DE"/>
        </w:rPr>
        <w:t xml:space="preserve">▪ Serum </w:t>
      </w:r>
      <w:proofErr w:type="spellStart"/>
      <w:r w:rsidRPr="00201FF9">
        <w:rPr>
          <w:color w:val="auto"/>
          <w:lang w:val="de-AT" w:eastAsia="de-DE"/>
        </w:rPr>
        <w:t>titer</w:t>
      </w:r>
      <w:proofErr w:type="spellEnd"/>
      <w:r w:rsidRPr="00201FF9">
        <w:rPr>
          <w:color w:val="auto"/>
          <w:lang w:val="de-AT" w:eastAsia="de-DE"/>
        </w:rPr>
        <w:t xml:space="preserve"> at 22 </w:t>
      </w:r>
      <w:proofErr w:type="spellStart"/>
      <w:r w:rsidRPr="00201FF9">
        <w:rPr>
          <w:color w:val="auto"/>
          <w:lang w:val="de-AT" w:eastAsia="de-DE"/>
        </w:rPr>
        <w:t>days</w:t>
      </w:r>
      <w:proofErr w:type="spellEnd"/>
      <w:r w:rsidRPr="00201FF9">
        <w:rPr>
          <w:color w:val="auto"/>
          <w:lang w:val="de-AT" w:eastAsia="de-DE"/>
        </w:rPr>
        <w:t xml:space="preserve"> (t1/2) = 180 </w:t>
      </w:r>
      <w:proofErr w:type="spellStart"/>
      <w:r w:rsidRPr="00201FF9">
        <w:rPr>
          <w:color w:val="auto"/>
          <w:lang w:val="de-AT" w:eastAsia="de-DE"/>
        </w:rPr>
        <w:t>mIU</w:t>
      </w:r>
      <w:proofErr w:type="spellEnd"/>
      <w:r w:rsidRPr="00201FF9">
        <w:rPr>
          <w:color w:val="auto"/>
          <w:lang w:val="de-AT" w:eastAsia="de-DE"/>
        </w:rPr>
        <w:t>/</w:t>
      </w:r>
      <w:proofErr w:type="spellStart"/>
      <w:r w:rsidRPr="00201FF9">
        <w:rPr>
          <w:color w:val="auto"/>
          <w:lang w:val="de-AT" w:eastAsia="de-DE"/>
        </w:rPr>
        <w:t>mL</w:t>
      </w:r>
      <w:proofErr w:type="spellEnd"/>
      <w:r w:rsidRPr="00201FF9">
        <w:rPr>
          <w:color w:val="auto"/>
          <w:lang w:val="de-AT" w:eastAsia="de-DE"/>
        </w:rPr>
        <w:t xml:space="preserve"> (dose: 0.4 g/kg)</w:t>
      </w:r>
    </w:p>
    <w:p w14:paraId="12B136E4" w14:textId="2E3A5C68" w:rsidR="00201FF9" w:rsidRPr="00201FF9" w:rsidRDefault="00201FF9" w:rsidP="00201FF9">
      <w:pPr>
        <w:spacing w:before="120" w:after="60"/>
        <w:jc w:val="both"/>
        <w:rPr>
          <w:color w:val="auto"/>
          <w:lang w:eastAsia="de-DE"/>
        </w:rPr>
      </w:pPr>
      <w:r w:rsidRPr="00201FF9">
        <w:rPr>
          <w:color w:val="auto"/>
          <w:lang w:eastAsia="de-DE"/>
        </w:rPr>
        <w:t xml:space="preserve">▪ Serum </w:t>
      </w:r>
      <w:proofErr w:type="spellStart"/>
      <w:r w:rsidRPr="00201FF9">
        <w:rPr>
          <w:color w:val="auto"/>
          <w:lang w:eastAsia="de-DE"/>
        </w:rPr>
        <w:t>titer</w:t>
      </w:r>
      <w:proofErr w:type="spellEnd"/>
      <w:r w:rsidRPr="00201FF9">
        <w:rPr>
          <w:color w:val="auto"/>
          <w:lang w:eastAsia="de-DE"/>
        </w:rPr>
        <w:t xml:space="preserve"> at 22 days (t1/2) = 238.5 </w:t>
      </w:r>
      <w:proofErr w:type="spellStart"/>
      <w:r w:rsidR="00447CDF">
        <w:rPr>
          <w:color w:val="auto"/>
          <w:lang w:eastAsia="de-DE"/>
        </w:rPr>
        <w:t>mIU</w:t>
      </w:r>
      <w:proofErr w:type="spellEnd"/>
      <w:r w:rsidR="00447CDF">
        <w:rPr>
          <w:color w:val="auto"/>
          <w:lang w:eastAsia="de-DE"/>
        </w:rPr>
        <w:t xml:space="preserve">/mL </w:t>
      </w:r>
      <w:r w:rsidRPr="00201FF9">
        <w:rPr>
          <w:color w:val="auto"/>
          <w:lang w:eastAsia="de-DE"/>
        </w:rPr>
        <w:t xml:space="preserve">(dose: </w:t>
      </w:r>
      <w:r w:rsidR="004F250D">
        <w:rPr>
          <w:color w:val="auto"/>
          <w:lang w:eastAsia="de-DE"/>
        </w:rPr>
        <w:t>0.</w:t>
      </w:r>
      <w:r w:rsidRPr="00201FF9">
        <w:rPr>
          <w:color w:val="auto"/>
          <w:lang w:eastAsia="de-DE"/>
        </w:rPr>
        <w:t>53 g/kg –pre-exposure prophylaxis)</w:t>
      </w:r>
    </w:p>
    <w:p w14:paraId="7F4F0C22" w14:textId="77777777" w:rsidR="00170462" w:rsidRDefault="00170462">
      <w:pPr>
        <w:pStyle w:val="Text"/>
        <w:jc w:val="left"/>
        <w:rPr>
          <w:color w:val="auto"/>
        </w:rPr>
      </w:pPr>
    </w:p>
    <w:p w14:paraId="16917AC7" w14:textId="77777777" w:rsidR="007B729F" w:rsidRDefault="007B729F">
      <w:pPr>
        <w:pStyle w:val="Formatvorlageberschrift2AutomatischBlock"/>
      </w:pPr>
      <w:proofErr w:type="spellStart"/>
      <w:r>
        <w:t>Preclinical</w:t>
      </w:r>
      <w:proofErr w:type="spellEnd"/>
      <w:r>
        <w:t xml:space="preserve"> </w:t>
      </w:r>
      <w:proofErr w:type="spellStart"/>
      <w:r>
        <w:t>safety</w:t>
      </w:r>
      <w:proofErr w:type="spellEnd"/>
      <w:r>
        <w:t xml:space="preserve"> data</w:t>
      </w:r>
    </w:p>
    <w:p w14:paraId="661FD2AC" w14:textId="77777777" w:rsidR="007B729F" w:rsidRDefault="007B729F">
      <w:pPr>
        <w:pStyle w:val="Text"/>
        <w:rPr>
          <w:color w:val="auto"/>
        </w:rPr>
      </w:pPr>
      <w:r>
        <w:rPr>
          <w:color w:val="auto"/>
        </w:rPr>
        <w:t xml:space="preserve">Immunoglobulins are normal constituents of the human body. </w:t>
      </w:r>
      <w:r>
        <w:rPr>
          <w:iCs/>
          <w:color w:val="auto"/>
          <w:lang w:val="en-US"/>
        </w:rPr>
        <w:t xml:space="preserve">Studies of repeated dose toxicity, genotoxicity, and toxicity to reproduction in animals are impracticable due to induction of and interference by developing antibodies to heterologous proteins. Since clinical experience provides no evidence for carcinogenic or mutagenic potential of immunoglobulins, no experimental studies in </w:t>
      </w:r>
      <w:r w:rsidR="00170462">
        <w:rPr>
          <w:iCs/>
          <w:color w:val="auto"/>
          <w:lang w:val="en-US"/>
        </w:rPr>
        <w:t>heterologous</w:t>
      </w:r>
      <w:r>
        <w:rPr>
          <w:iCs/>
          <w:color w:val="auto"/>
          <w:lang w:val="en-US"/>
        </w:rPr>
        <w:t xml:space="preserve"> species were performed. </w:t>
      </w:r>
    </w:p>
    <w:p w14:paraId="6DE1FB08" w14:textId="77777777" w:rsidR="007B729F" w:rsidRDefault="007B729F">
      <w:pPr>
        <w:pStyle w:val="Text"/>
        <w:rPr>
          <w:color w:val="auto"/>
        </w:rPr>
      </w:pPr>
    </w:p>
    <w:p w14:paraId="116846FD" w14:textId="77777777" w:rsidR="007B729F" w:rsidRDefault="007B729F">
      <w:pPr>
        <w:pStyle w:val="Formatvorlageberschrift1Automatisch"/>
      </w:pPr>
      <w:r>
        <w:t>PHARMACEUTICAL PARTICULARS</w:t>
      </w:r>
    </w:p>
    <w:p w14:paraId="68780CBC" w14:textId="77777777" w:rsidR="007B729F" w:rsidRDefault="007B729F">
      <w:pPr>
        <w:pStyle w:val="Formatvorlageberschrift2AutomatischBlock"/>
      </w:pPr>
      <w:r>
        <w:t>List of excipients</w:t>
      </w:r>
    </w:p>
    <w:p w14:paraId="608D644F" w14:textId="77777777" w:rsidR="007B729F" w:rsidRDefault="007B729F" w:rsidP="00201FF9">
      <w:pPr>
        <w:pStyle w:val="Text"/>
        <w:tabs>
          <w:tab w:val="left" w:pos="1134"/>
          <w:tab w:val="left" w:pos="3969"/>
          <w:tab w:val="right" w:pos="4111"/>
          <w:tab w:val="left" w:pos="4536"/>
        </w:tabs>
        <w:jc w:val="left"/>
        <w:rPr>
          <w:color w:val="auto"/>
        </w:rPr>
      </w:pPr>
      <w:r>
        <w:rPr>
          <w:color w:val="auto"/>
        </w:rPr>
        <w:t>Maltose</w:t>
      </w:r>
      <w:r>
        <w:rPr>
          <w:color w:val="auto"/>
        </w:rPr>
        <w:tab/>
      </w:r>
      <w:r>
        <w:rPr>
          <w:color w:val="auto"/>
        </w:rPr>
        <w:br/>
        <w:t>Water for injections</w:t>
      </w:r>
      <w:r>
        <w:rPr>
          <w:color w:val="auto"/>
        </w:rPr>
        <w:tab/>
      </w:r>
    </w:p>
    <w:p w14:paraId="2B4E06A3" w14:textId="77777777" w:rsidR="007B729F" w:rsidRDefault="007B729F">
      <w:pPr>
        <w:pStyle w:val="Formatvorlageberschrift2AutomatischBlock"/>
      </w:pPr>
      <w:proofErr w:type="spellStart"/>
      <w:r>
        <w:t>Incompatibilities</w:t>
      </w:r>
      <w:proofErr w:type="spellEnd"/>
    </w:p>
    <w:p w14:paraId="6B61702E" w14:textId="77777777" w:rsidR="007B729F" w:rsidRPr="009178ED" w:rsidRDefault="007E5D11">
      <w:pPr>
        <w:pStyle w:val="Text"/>
        <w:jc w:val="left"/>
        <w:rPr>
          <w:color w:val="auto"/>
          <w:szCs w:val="24"/>
        </w:rPr>
      </w:pPr>
      <w:r w:rsidRPr="00E21CE2">
        <w:rPr>
          <w:color w:val="auto"/>
          <w:szCs w:val="24"/>
        </w:rPr>
        <w:t>In the absence of compatibility studies,</w:t>
      </w:r>
      <w:r w:rsidR="00170462" w:rsidRPr="009178ED">
        <w:rPr>
          <w:color w:val="auto"/>
          <w:szCs w:val="24"/>
        </w:rPr>
        <w:t xml:space="preserve"> t</w:t>
      </w:r>
      <w:r w:rsidR="007B729F" w:rsidRPr="009178ED">
        <w:rPr>
          <w:color w:val="auto"/>
          <w:szCs w:val="24"/>
        </w:rPr>
        <w:t>his medicinal product must not be mixed with other medicinal products</w:t>
      </w:r>
      <w:r w:rsidR="00972970">
        <w:rPr>
          <w:color w:val="auto"/>
          <w:szCs w:val="24"/>
        </w:rPr>
        <w:t xml:space="preserve">, </w:t>
      </w:r>
      <w:r w:rsidR="00972970">
        <w:rPr>
          <w:color w:val="auto"/>
        </w:rPr>
        <w:t>nor with any other IVIg products</w:t>
      </w:r>
      <w:r w:rsidR="007B729F" w:rsidRPr="009178ED">
        <w:rPr>
          <w:color w:val="auto"/>
          <w:szCs w:val="24"/>
        </w:rPr>
        <w:t>.</w:t>
      </w:r>
    </w:p>
    <w:p w14:paraId="1419942B" w14:textId="77777777" w:rsidR="007B729F" w:rsidRDefault="007B729F">
      <w:pPr>
        <w:pStyle w:val="Formatvorlageberschrift2AutomatischBlock"/>
      </w:pPr>
      <w:r>
        <w:t>Shelf-life</w:t>
      </w:r>
    </w:p>
    <w:p w14:paraId="3455E80D" w14:textId="77777777" w:rsidR="00D040F8" w:rsidRDefault="00854940" w:rsidP="00D040F8">
      <w:pPr>
        <w:pStyle w:val="Text"/>
        <w:spacing w:before="0" w:after="0"/>
        <w:rPr>
          <w:color w:val="auto"/>
        </w:rPr>
      </w:pPr>
      <w:r>
        <w:rPr>
          <w:color w:val="auto"/>
        </w:rPr>
        <w:t>3</w:t>
      </w:r>
      <w:r w:rsidR="007B729F">
        <w:rPr>
          <w:color w:val="auto"/>
        </w:rPr>
        <w:t xml:space="preserve"> years </w:t>
      </w:r>
    </w:p>
    <w:p w14:paraId="5EB3F790" w14:textId="3B958B62" w:rsidR="00D040F8" w:rsidRDefault="00D040F8" w:rsidP="00D040F8">
      <w:pPr>
        <w:pStyle w:val="Text"/>
        <w:spacing w:before="0" w:after="0"/>
        <w:rPr>
          <w:color w:val="auto"/>
        </w:rPr>
      </w:pPr>
      <w:r w:rsidRPr="00D040F8">
        <w:rPr>
          <w:color w:val="auto"/>
        </w:rPr>
        <w:t xml:space="preserve">After first opening, the </w:t>
      </w:r>
      <w:r w:rsidR="00F23A12">
        <w:rPr>
          <w:color w:val="auto"/>
        </w:rPr>
        <w:t xml:space="preserve">medicinal </w:t>
      </w:r>
      <w:r w:rsidRPr="00D040F8">
        <w:rPr>
          <w:color w:val="auto"/>
        </w:rPr>
        <w:t>product should be used immediately.</w:t>
      </w:r>
    </w:p>
    <w:p w14:paraId="392D3C09" w14:textId="77777777" w:rsidR="007B729F" w:rsidRDefault="007B729F">
      <w:pPr>
        <w:pStyle w:val="Formatvorlageberschrift2AutomatischBlock"/>
      </w:pPr>
      <w:proofErr w:type="spellStart"/>
      <w:r>
        <w:lastRenderedPageBreak/>
        <w:t>Special</w:t>
      </w:r>
      <w:proofErr w:type="spellEnd"/>
      <w:r>
        <w:t xml:space="preserve"> </w:t>
      </w:r>
      <w:proofErr w:type="spellStart"/>
      <w:r>
        <w:t>precautions</w:t>
      </w:r>
      <w:proofErr w:type="spellEnd"/>
      <w:r>
        <w:t xml:space="preserve"> for </w:t>
      </w:r>
      <w:proofErr w:type="spellStart"/>
      <w:r>
        <w:t>storage</w:t>
      </w:r>
      <w:proofErr w:type="spellEnd"/>
    </w:p>
    <w:p w14:paraId="1764EE41" w14:textId="77777777" w:rsidR="007B729F" w:rsidRDefault="007B729F">
      <w:pPr>
        <w:pStyle w:val="Text"/>
        <w:jc w:val="left"/>
        <w:rPr>
          <w:color w:val="auto"/>
        </w:rPr>
      </w:pPr>
      <w:r>
        <w:rPr>
          <w:color w:val="auto"/>
        </w:rPr>
        <w:t>Store in a refrigerator (2°C – 8°C). Do not freeze.</w:t>
      </w:r>
    </w:p>
    <w:p w14:paraId="1614E3F2" w14:textId="77777777" w:rsidR="007B729F" w:rsidRDefault="007B729F">
      <w:pPr>
        <w:pStyle w:val="Text"/>
        <w:jc w:val="left"/>
        <w:rPr>
          <w:color w:val="auto"/>
        </w:rPr>
      </w:pPr>
      <w:r>
        <w:rPr>
          <w:color w:val="auto"/>
        </w:rPr>
        <w:t xml:space="preserve">Keep the container in the outer carton </w:t>
      </w:r>
      <w:proofErr w:type="gramStart"/>
      <w:r>
        <w:rPr>
          <w:color w:val="auto"/>
        </w:rPr>
        <w:t>in order to</w:t>
      </w:r>
      <w:proofErr w:type="gramEnd"/>
      <w:r>
        <w:rPr>
          <w:color w:val="auto"/>
        </w:rPr>
        <w:t xml:space="preserve"> protect from light.</w:t>
      </w:r>
    </w:p>
    <w:p w14:paraId="3A797476" w14:textId="77777777" w:rsidR="007B729F" w:rsidRDefault="007B729F">
      <w:pPr>
        <w:pStyle w:val="Text"/>
        <w:rPr>
          <w:color w:val="auto"/>
          <w:szCs w:val="22"/>
        </w:rPr>
      </w:pPr>
      <w:r>
        <w:rPr>
          <w:color w:val="auto"/>
          <w:szCs w:val="22"/>
        </w:rPr>
        <w:t xml:space="preserve">The product may be removed from the refrigerator for a single period of up to </w:t>
      </w:r>
      <w:r w:rsidR="00D55A34">
        <w:rPr>
          <w:color w:val="auto"/>
          <w:szCs w:val="22"/>
        </w:rPr>
        <w:t>9</w:t>
      </w:r>
      <w:r>
        <w:rPr>
          <w:color w:val="auto"/>
          <w:szCs w:val="22"/>
        </w:rPr>
        <w:t xml:space="preserve"> months (without exceeding the expiry date) and stored at a temperature </w:t>
      </w:r>
      <w:r w:rsidR="003E10E2">
        <w:rPr>
          <w:color w:val="auto"/>
          <w:szCs w:val="22"/>
        </w:rPr>
        <w:t>≤</w:t>
      </w:r>
      <w:r>
        <w:rPr>
          <w:color w:val="auto"/>
          <w:szCs w:val="22"/>
        </w:rPr>
        <w:t xml:space="preserve"> 25°C. At the end of this period, the product should not be refrigerated again and should be disposed of. The date at which the product was taken out of the refrigerator should be recorded on the outer carton.</w:t>
      </w:r>
    </w:p>
    <w:p w14:paraId="60759986" w14:textId="77777777" w:rsidR="00D040F8" w:rsidRPr="00D040F8" w:rsidRDefault="00D040F8" w:rsidP="00D040F8">
      <w:pPr>
        <w:pStyle w:val="Text"/>
        <w:rPr>
          <w:bCs/>
          <w:iCs/>
          <w:color w:val="auto"/>
          <w:szCs w:val="22"/>
        </w:rPr>
      </w:pPr>
      <w:r w:rsidRPr="00D040F8">
        <w:rPr>
          <w:bCs/>
          <w:iCs/>
          <w:color w:val="auto"/>
          <w:szCs w:val="22"/>
        </w:rPr>
        <w:t>For storage conditions after first opening of the medicinal product, see section 6.3.</w:t>
      </w:r>
    </w:p>
    <w:p w14:paraId="1A8F8E89" w14:textId="77777777" w:rsidR="00D040F8" w:rsidRDefault="00D040F8">
      <w:pPr>
        <w:pStyle w:val="Text"/>
        <w:rPr>
          <w:color w:val="auto"/>
        </w:rPr>
      </w:pPr>
    </w:p>
    <w:p w14:paraId="105BE3FB" w14:textId="77777777" w:rsidR="007B729F" w:rsidRDefault="007B729F">
      <w:pPr>
        <w:pStyle w:val="Formatvorlageberschrift2AutomatischBlock"/>
        <w:rPr>
          <w:lang w:val="en-GB"/>
        </w:rPr>
      </w:pPr>
      <w:r>
        <w:rPr>
          <w:lang w:val="en-GB"/>
        </w:rPr>
        <w:t>Nature and contents of container</w:t>
      </w:r>
    </w:p>
    <w:p w14:paraId="3045CF3A" w14:textId="77777777" w:rsidR="000D7F8B" w:rsidRDefault="000D7F8B" w:rsidP="000D7F8B">
      <w:pPr>
        <w:jc w:val="both"/>
        <w:rPr>
          <w:noProof/>
          <w:lang w:val="de-DE"/>
        </w:rPr>
      </w:pPr>
      <w:r>
        <w:rPr>
          <w:noProof/>
          <w:lang w:val="de-DE"/>
        </w:rPr>
        <w:t>Pack sizes:</w:t>
      </w:r>
    </w:p>
    <w:p w14:paraId="012BC302" w14:textId="77777777" w:rsidR="000D7F8B" w:rsidRPr="00045ED1" w:rsidRDefault="000D7F8B" w:rsidP="000D7F8B">
      <w:pPr>
        <w:jc w:val="both"/>
        <w:rPr>
          <w:noProof/>
          <w:lang w:val="de-DE"/>
        </w:rPr>
      </w:pPr>
    </w:p>
    <w:p w14:paraId="06E4DC87" w14:textId="77777777" w:rsidR="000D7F8B" w:rsidRPr="00045ED1" w:rsidRDefault="00B73E91" w:rsidP="000D7F8B">
      <w:pPr>
        <w:jc w:val="both"/>
        <w:rPr>
          <w:noProof/>
          <w:lang w:val="de-DE"/>
        </w:rPr>
      </w:pPr>
      <w:r>
        <w:rPr>
          <w:noProof/>
          <w:lang w:val="de-DE"/>
        </w:rPr>
        <w:t xml:space="preserve">        2 g</w:t>
      </w:r>
      <w:r>
        <w:rPr>
          <w:noProof/>
          <w:lang w:val="de-DE"/>
        </w:rPr>
        <w:tab/>
      </w:r>
      <w:r w:rsidR="000D7F8B" w:rsidRPr="00045ED1">
        <w:rPr>
          <w:noProof/>
          <w:lang w:val="de-DE"/>
        </w:rPr>
        <w:t>in</w:t>
      </w:r>
      <w:r w:rsidR="000D7F8B" w:rsidRPr="00045ED1">
        <w:rPr>
          <w:noProof/>
          <w:lang w:val="de-DE"/>
        </w:rPr>
        <w:tab/>
        <w:t xml:space="preserve">        20 ml</w:t>
      </w:r>
    </w:p>
    <w:p w14:paraId="14ECCE62" w14:textId="77777777" w:rsidR="000D7F8B" w:rsidRDefault="00B73E91" w:rsidP="000D7F8B">
      <w:pPr>
        <w:jc w:val="both"/>
        <w:rPr>
          <w:noProof/>
          <w:lang w:val="de-DE"/>
        </w:rPr>
      </w:pPr>
      <w:r>
        <w:rPr>
          <w:noProof/>
          <w:lang w:val="de-DE"/>
        </w:rPr>
        <w:t xml:space="preserve">        5 g</w:t>
      </w:r>
      <w:r>
        <w:rPr>
          <w:noProof/>
          <w:lang w:val="de-DE"/>
        </w:rPr>
        <w:tab/>
      </w:r>
      <w:r w:rsidR="000D7F8B" w:rsidRPr="00045ED1">
        <w:rPr>
          <w:noProof/>
          <w:lang w:val="de-DE"/>
        </w:rPr>
        <w:t>in</w:t>
      </w:r>
      <w:r w:rsidR="000D7F8B" w:rsidRPr="00045ED1">
        <w:rPr>
          <w:noProof/>
          <w:lang w:val="de-DE"/>
        </w:rPr>
        <w:tab/>
        <w:t xml:space="preserve">        50 ml</w:t>
      </w:r>
    </w:p>
    <w:p w14:paraId="5BB65270" w14:textId="77777777" w:rsidR="000D7F8B" w:rsidRDefault="00B73E91" w:rsidP="000D7F8B">
      <w:pPr>
        <w:jc w:val="both"/>
        <w:rPr>
          <w:noProof/>
          <w:lang w:val="de-DE"/>
        </w:rPr>
      </w:pPr>
      <w:r>
        <w:rPr>
          <w:noProof/>
          <w:lang w:val="de-DE"/>
        </w:rPr>
        <w:t xml:space="preserve">        6 g</w:t>
      </w:r>
      <w:r>
        <w:rPr>
          <w:noProof/>
          <w:lang w:val="de-DE"/>
        </w:rPr>
        <w:tab/>
      </w:r>
      <w:r w:rsidR="000D7F8B">
        <w:rPr>
          <w:noProof/>
          <w:lang w:val="de-DE"/>
        </w:rPr>
        <w:t>in</w:t>
      </w:r>
      <w:r w:rsidR="000D7F8B">
        <w:rPr>
          <w:noProof/>
          <w:lang w:val="de-DE"/>
        </w:rPr>
        <w:tab/>
        <w:t xml:space="preserve">        6</w:t>
      </w:r>
      <w:r w:rsidR="000D7F8B" w:rsidRPr="00045ED1">
        <w:rPr>
          <w:noProof/>
          <w:lang w:val="de-DE"/>
        </w:rPr>
        <w:t>0 ml</w:t>
      </w:r>
    </w:p>
    <w:p w14:paraId="7C858A28" w14:textId="77777777" w:rsidR="000D7F8B" w:rsidRPr="00B73E91" w:rsidRDefault="00B73E91" w:rsidP="000D7F8B">
      <w:pPr>
        <w:jc w:val="both"/>
        <w:rPr>
          <w:noProof/>
          <w:lang w:val="en-AU"/>
        </w:rPr>
      </w:pPr>
      <w:r>
        <w:rPr>
          <w:noProof/>
          <w:lang w:val="de-DE"/>
        </w:rPr>
        <w:t xml:space="preserve">      </w:t>
      </w:r>
      <w:r w:rsidRPr="00B73E91">
        <w:rPr>
          <w:noProof/>
          <w:lang w:val="en-AU"/>
        </w:rPr>
        <w:t>10 g</w:t>
      </w:r>
      <w:r w:rsidRPr="00B73E91">
        <w:rPr>
          <w:noProof/>
          <w:lang w:val="en-AU"/>
        </w:rPr>
        <w:tab/>
      </w:r>
      <w:r w:rsidR="000D7F8B" w:rsidRPr="00B73E91">
        <w:rPr>
          <w:noProof/>
          <w:lang w:val="en-AU"/>
        </w:rPr>
        <w:t>in</w:t>
      </w:r>
      <w:r w:rsidR="000D7F8B" w:rsidRPr="00B73E91">
        <w:rPr>
          <w:noProof/>
          <w:lang w:val="en-AU"/>
        </w:rPr>
        <w:tab/>
        <w:t xml:space="preserve">      100 ml</w:t>
      </w:r>
    </w:p>
    <w:p w14:paraId="2A12259B" w14:textId="77777777" w:rsidR="000D7F8B" w:rsidRPr="00B73E91" w:rsidRDefault="00B73E91" w:rsidP="000D7F8B">
      <w:pPr>
        <w:jc w:val="both"/>
        <w:rPr>
          <w:noProof/>
          <w:lang w:val="en-AU"/>
        </w:rPr>
      </w:pPr>
      <w:r w:rsidRPr="00B73E91">
        <w:rPr>
          <w:noProof/>
          <w:lang w:val="en-AU"/>
        </w:rPr>
        <w:t xml:space="preserve">      20 g</w:t>
      </w:r>
      <w:r w:rsidRPr="00B73E91">
        <w:rPr>
          <w:noProof/>
          <w:lang w:val="en-AU"/>
        </w:rPr>
        <w:tab/>
      </w:r>
      <w:r w:rsidR="000D7F8B" w:rsidRPr="00B73E91">
        <w:rPr>
          <w:noProof/>
          <w:lang w:val="en-AU"/>
        </w:rPr>
        <w:t>in</w:t>
      </w:r>
      <w:r w:rsidR="000D7F8B" w:rsidRPr="00B73E91">
        <w:rPr>
          <w:noProof/>
          <w:lang w:val="en-AU"/>
        </w:rPr>
        <w:tab/>
        <w:t xml:space="preserve">      200 ml</w:t>
      </w:r>
    </w:p>
    <w:p w14:paraId="15397591" w14:textId="77777777" w:rsidR="000D7F8B" w:rsidRPr="00B73E91" w:rsidRDefault="00B73E91" w:rsidP="000D7F8B">
      <w:pPr>
        <w:jc w:val="both"/>
        <w:rPr>
          <w:noProof/>
          <w:lang w:val="en-AU"/>
        </w:rPr>
      </w:pPr>
      <w:r>
        <w:rPr>
          <w:noProof/>
          <w:lang w:val="en-AU"/>
        </w:rPr>
        <w:t>3 x 10 g</w:t>
      </w:r>
      <w:r>
        <w:rPr>
          <w:noProof/>
          <w:lang w:val="en-AU"/>
        </w:rPr>
        <w:tab/>
      </w:r>
      <w:r w:rsidR="000D7F8B" w:rsidRPr="00B73E91">
        <w:rPr>
          <w:noProof/>
          <w:lang w:val="en-AU"/>
        </w:rPr>
        <w:t>in</w:t>
      </w:r>
      <w:r w:rsidR="000D7F8B" w:rsidRPr="00B73E91">
        <w:rPr>
          <w:noProof/>
          <w:lang w:val="en-AU"/>
        </w:rPr>
        <w:tab/>
        <w:t>3 x 100 ml</w:t>
      </w:r>
    </w:p>
    <w:p w14:paraId="585FEF60" w14:textId="77777777" w:rsidR="000D7F8B" w:rsidRPr="00B73E91" w:rsidRDefault="000D7F8B" w:rsidP="000D7F8B">
      <w:pPr>
        <w:jc w:val="both"/>
        <w:rPr>
          <w:noProof/>
          <w:lang w:val="en-AU"/>
        </w:rPr>
      </w:pPr>
      <w:r w:rsidRPr="00B73E91">
        <w:rPr>
          <w:noProof/>
          <w:lang w:val="en-AU"/>
        </w:rPr>
        <w:t>3 x 2</w:t>
      </w:r>
      <w:r w:rsidR="00B73E91">
        <w:rPr>
          <w:noProof/>
          <w:lang w:val="en-AU"/>
        </w:rPr>
        <w:t>0 g</w:t>
      </w:r>
      <w:r w:rsidR="00B73E91">
        <w:rPr>
          <w:noProof/>
          <w:lang w:val="en-AU"/>
        </w:rPr>
        <w:tab/>
      </w:r>
      <w:r w:rsidRPr="00B73E91">
        <w:rPr>
          <w:noProof/>
          <w:lang w:val="en-AU"/>
        </w:rPr>
        <w:t>in</w:t>
      </w:r>
      <w:r w:rsidRPr="00B73E91">
        <w:rPr>
          <w:noProof/>
          <w:lang w:val="en-AU"/>
        </w:rPr>
        <w:tab/>
        <w:t>3 x 200 ml</w:t>
      </w:r>
    </w:p>
    <w:p w14:paraId="736F1C73" w14:textId="77777777" w:rsidR="00633A8C" w:rsidRPr="00B73E91" w:rsidRDefault="00633A8C" w:rsidP="000D7F8B">
      <w:pPr>
        <w:jc w:val="both"/>
        <w:rPr>
          <w:noProof/>
          <w:lang w:val="en-AU"/>
        </w:rPr>
      </w:pPr>
      <w:r>
        <w:rPr>
          <w:noProof/>
          <w:lang w:val="en-AU"/>
        </w:rPr>
        <w:t xml:space="preserve">      30 g</w:t>
      </w:r>
      <w:r>
        <w:rPr>
          <w:noProof/>
          <w:lang w:val="en-AU"/>
        </w:rPr>
        <w:tab/>
        <w:t>in</w:t>
      </w:r>
      <w:r>
        <w:rPr>
          <w:noProof/>
          <w:lang w:val="en-AU"/>
        </w:rPr>
        <w:tab/>
        <w:t xml:space="preserve">      300 ml</w:t>
      </w:r>
    </w:p>
    <w:p w14:paraId="08A35B2C" w14:textId="77777777" w:rsidR="000D7F8B" w:rsidRDefault="000D7F8B" w:rsidP="000D7F8B">
      <w:pPr>
        <w:pStyle w:val="Text"/>
        <w:rPr>
          <w:color w:val="auto"/>
        </w:rPr>
      </w:pPr>
      <w:r w:rsidRPr="00B73E91">
        <w:rPr>
          <w:color w:val="auto"/>
          <w:lang w:val="en-AU"/>
        </w:rPr>
        <w:t xml:space="preserve">Not all </w:t>
      </w:r>
      <w:proofErr w:type="spellStart"/>
      <w:r w:rsidRPr="00B73E91">
        <w:rPr>
          <w:color w:val="auto"/>
          <w:lang w:val="en-AU"/>
        </w:rPr>
        <w:t>pac</w:t>
      </w:r>
      <w:proofErr w:type="spellEnd"/>
      <w:r>
        <w:rPr>
          <w:color w:val="auto"/>
        </w:rPr>
        <w:t>k sizes may be marketed.</w:t>
      </w:r>
    </w:p>
    <w:p w14:paraId="7DED4FF7" w14:textId="77777777" w:rsidR="000D7F8B" w:rsidRPr="000D7F8B" w:rsidRDefault="000D7F8B" w:rsidP="000D7F8B">
      <w:pPr>
        <w:pStyle w:val="Text"/>
        <w:rPr>
          <w:noProof/>
        </w:rPr>
      </w:pPr>
    </w:p>
    <w:p w14:paraId="1421C4A6" w14:textId="77777777" w:rsidR="007B729F" w:rsidRDefault="007B729F">
      <w:pPr>
        <w:pStyle w:val="Text"/>
        <w:rPr>
          <w:color w:val="auto"/>
        </w:rPr>
      </w:pPr>
      <w:r>
        <w:rPr>
          <w:color w:val="auto"/>
        </w:rPr>
        <w:t>20 ml of solution in a 30 ml vial.</w:t>
      </w:r>
    </w:p>
    <w:p w14:paraId="6E81C8FA" w14:textId="77777777" w:rsidR="007B729F" w:rsidRDefault="007B729F">
      <w:pPr>
        <w:pStyle w:val="Text"/>
        <w:rPr>
          <w:color w:val="auto"/>
        </w:rPr>
      </w:pPr>
      <w:r>
        <w:rPr>
          <w:color w:val="auto"/>
        </w:rPr>
        <w:t>50 ml of solution in a 70 ml bottle.</w:t>
      </w:r>
    </w:p>
    <w:p w14:paraId="04081343" w14:textId="77777777" w:rsidR="00D51C37" w:rsidRDefault="00D51C37">
      <w:pPr>
        <w:pStyle w:val="Text"/>
        <w:rPr>
          <w:color w:val="auto"/>
        </w:rPr>
      </w:pPr>
      <w:r>
        <w:rPr>
          <w:color w:val="auto"/>
        </w:rPr>
        <w:t>60 ml of solution in a</w:t>
      </w:r>
      <w:r w:rsidR="00B73E91">
        <w:rPr>
          <w:color w:val="auto"/>
        </w:rPr>
        <w:t xml:space="preserve"> 70 ml bottle</w:t>
      </w:r>
      <w:r>
        <w:rPr>
          <w:color w:val="auto"/>
        </w:rPr>
        <w:t>.</w:t>
      </w:r>
    </w:p>
    <w:p w14:paraId="44D7AF4E" w14:textId="77777777" w:rsidR="007B729F" w:rsidRDefault="007B729F">
      <w:pPr>
        <w:pStyle w:val="Text"/>
        <w:rPr>
          <w:color w:val="auto"/>
        </w:rPr>
      </w:pPr>
      <w:r>
        <w:rPr>
          <w:color w:val="auto"/>
        </w:rPr>
        <w:t>100 ml of solution in a 100 ml bottle.</w:t>
      </w:r>
    </w:p>
    <w:p w14:paraId="216D257F" w14:textId="77777777" w:rsidR="007B729F" w:rsidRDefault="007B729F">
      <w:pPr>
        <w:pStyle w:val="Text"/>
        <w:rPr>
          <w:color w:val="auto"/>
        </w:rPr>
      </w:pPr>
      <w:r>
        <w:rPr>
          <w:color w:val="auto"/>
        </w:rPr>
        <w:t>200 ml of solution in a 250 ml bottle.</w:t>
      </w:r>
    </w:p>
    <w:p w14:paraId="73442AA9" w14:textId="77777777" w:rsidR="00633A8C" w:rsidRDefault="00633A8C">
      <w:pPr>
        <w:pStyle w:val="Text"/>
        <w:rPr>
          <w:color w:val="auto"/>
        </w:rPr>
      </w:pPr>
      <w:r>
        <w:rPr>
          <w:color w:val="auto"/>
        </w:rPr>
        <w:t>300 ml of solution in a 300 ml bottle.</w:t>
      </w:r>
    </w:p>
    <w:p w14:paraId="19259812" w14:textId="77777777" w:rsidR="00B73E91" w:rsidRDefault="00B73E91" w:rsidP="00B73E91">
      <w:pPr>
        <w:pStyle w:val="Text"/>
      </w:pPr>
    </w:p>
    <w:p w14:paraId="5247BBFC" w14:textId="77777777" w:rsidR="00B73E91" w:rsidRPr="00B73E91" w:rsidRDefault="00B73E91" w:rsidP="00B73E91">
      <w:pPr>
        <w:pStyle w:val="Text"/>
        <w:rPr>
          <w:color w:val="auto"/>
          <w:lang w:val="en-AU"/>
        </w:rPr>
      </w:pPr>
      <w:r>
        <w:t xml:space="preserve">The vials/bottles are made of type II glass closed with </w:t>
      </w:r>
      <w:proofErr w:type="spellStart"/>
      <w:r>
        <w:t>bromobutyl</w:t>
      </w:r>
      <w:proofErr w:type="spellEnd"/>
      <w:r>
        <w:t xml:space="preserve"> rubber stoppers.</w:t>
      </w:r>
    </w:p>
    <w:p w14:paraId="25039D66" w14:textId="77777777" w:rsidR="00B73E91" w:rsidRPr="00B73E91" w:rsidRDefault="00B73E91">
      <w:pPr>
        <w:pStyle w:val="Text"/>
        <w:rPr>
          <w:color w:val="auto"/>
          <w:lang w:val="en-AU"/>
        </w:rPr>
      </w:pPr>
    </w:p>
    <w:p w14:paraId="16BA0648" w14:textId="77777777" w:rsidR="007B729F" w:rsidRDefault="007B729F">
      <w:pPr>
        <w:pStyle w:val="Formatvorlageberschrift2AutomatischBlock"/>
        <w:rPr>
          <w:lang w:val="en-GB"/>
        </w:rPr>
      </w:pPr>
      <w:r>
        <w:rPr>
          <w:lang w:val="en-GB"/>
        </w:rPr>
        <w:t>Special precautions for disposal and other handling</w:t>
      </w:r>
    </w:p>
    <w:p w14:paraId="798FC2C8" w14:textId="77777777" w:rsidR="007B729F" w:rsidRDefault="007B729F">
      <w:pPr>
        <w:pStyle w:val="Text"/>
        <w:spacing w:after="0"/>
        <w:rPr>
          <w:color w:val="auto"/>
        </w:rPr>
      </w:pPr>
      <w:r>
        <w:rPr>
          <w:color w:val="auto"/>
        </w:rPr>
        <w:t>The product should be brought to room or body temperature before use.</w:t>
      </w:r>
    </w:p>
    <w:p w14:paraId="1B306F90" w14:textId="77777777" w:rsidR="007B729F" w:rsidRDefault="007B729F">
      <w:pPr>
        <w:pStyle w:val="Text"/>
        <w:spacing w:after="0"/>
        <w:rPr>
          <w:color w:val="auto"/>
        </w:rPr>
      </w:pPr>
      <w:r>
        <w:rPr>
          <w:color w:val="auto"/>
        </w:rPr>
        <w:t xml:space="preserve">The solution should be clear to slightly opalescent and colourless </w:t>
      </w:r>
      <w:r w:rsidR="00972970">
        <w:rPr>
          <w:color w:val="auto"/>
        </w:rPr>
        <w:t>or</w:t>
      </w:r>
      <w:r w:rsidR="00C93845">
        <w:rPr>
          <w:color w:val="auto"/>
        </w:rPr>
        <w:t xml:space="preserve"> </w:t>
      </w:r>
      <w:r w:rsidR="00972970">
        <w:rPr>
          <w:color w:val="auto"/>
        </w:rPr>
        <w:t xml:space="preserve">pale </w:t>
      </w:r>
      <w:r>
        <w:rPr>
          <w:color w:val="auto"/>
        </w:rPr>
        <w:t>yellow.</w:t>
      </w:r>
    </w:p>
    <w:p w14:paraId="2C34B95C" w14:textId="77777777" w:rsidR="00972970" w:rsidRPr="00743235" w:rsidRDefault="00972970" w:rsidP="00972970">
      <w:pPr>
        <w:pStyle w:val="Text"/>
        <w:rPr>
          <w:color w:val="auto"/>
        </w:rPr>
      </w:pPr>
      <w:r w:rsidRPr="00743235">
        <w:rPr>
          <w:color w:val="auto"/>
        </w:rPr>
        <w:t>Solutions that are cloudy or have deposits should be not used.</w:t>
      </w:r>
    </w:p>
    <w:p w14:paraId="7DB7D449" w14:textId="77777777" w:rsidR="007B729F" w:rsidRDefault="007B729F">
      <w:pPr>
        <w:pStyle w:val="Text"/>
        <w:rPr>
          <w:color w:val="auto"/>
        </w:rPr>
      </w:pPr>
      <w:r>
        <w:rPr>
          <w:color w:val="auto"/>
        </w:rPr>
        <w:t>Any unused product or waste material should be disposed of in accordance with local requirements.</w:t>
      </w:r>
    </w:p>
    <w:p w14:paraId="1A3FE45A" w14:textId="77777777" w:rsidR="007B729F" w:rsidRDefault="007B729F">
      <w:pPr>
        <w:pStyle w:val="Text"/>
        <w:rPr>
          <w:color w:val="auto"/>
        </w:rPr>
      </w:pPr>
    </w:p>
    <w:p w14:paraId="20281209" w14:textId="77777777" w:rsidR="007B729F" w:rsidRDefault="007B729F">
      <w:pPr>
        <w:pStyle w:val="Formatvorlageberschrift1Automatisch"/>
      </w:pPr>
      <w:r>
        <w:lastRenderedPageBreak/>
        <w:t xml:space="preserve">MARKETING AUTHORISATION HOLDER </w:t>
      </w:r>
    </w:p>
    <w:p w14:paraId="3C48A5BB" w14:textId="77777777" w:rsidR="007B729F" w:rsidRDefault="007B729F">
      <w:pPr>
        <w:pStyle w:val="Text"/>
        <w:rPr>
          <w:i/>
          <w:iCs/>
          <w:color w:val="auto"/>
        </w:rPr>
      </w:pPr>
      <w:r>
        <w:rPr>
          <w:i/>
          <w:iCs/>
          <w:color w:val="auto"/>
        </w:rPr>
        <w:t>To be completed nationally</w:t>
      </w:r>
    </w:p>
    <w:p w14:paraId="4A0AD531" w14:textId="77777777" w:rsidR="007B729F" w:rsidRDefault="007B729F">
      <w:pPr>
        <w:pStyle w:val="Formatvorlageberschrift1Automatisch"/>
      </w:pPr>
      <w:r>
        <w:t>MARKETING AUTHORISATION NUMBER(S)</w:t>
      </w:r>
    </w:p>
    <w:p w14:paraId="1CA1A5F9" w14:textId="77777777" w:rsidR="007B729F" w:rsidRDefault="007B729F">
      <w:pPr>
        <w:pStyle w:val="Text"/>
        <w:rPr>
          <w:color w:val="auto"/>
        </w:rPr>
      </w:pPr>
    </w:p>
    <w:p w14:paraId="00690DE3" w14:textId="77777777" w:rsidR="007B729F" w:rsidRDefault="007B729F">
      <w:pPr>
        <w:pStyle w:val="Formatvorlageberschrift1Automatisch"/>
      </w:pPr>
      <w:r>
        <w:t>DATE OF AUTHORISATION/RENEWAL OF THE AUTHORISATION</w:t>
      </w:r>
    </w:p>
    <w:p w14:paraId="59467B6E" w14:textId="77777777" w:rsidR="007B729F" w:rsidRDefault="007B729F">
      <w:pPr>
        <w:pStyle w:val="Text"/>
        <w:rPr>
          <w:color w:val="auto"/>
        </w:rPr>
      </w:pPr>
      <w:r>
        <w:rPr>
          <w:color w:val="auto"/>
        </w:rPr>
        <w:t>Date of first authorisation:</w:t>
      </w:r>
    </w:p>
    <w:p w14:paraId="7FFA0D1D" w14:textId="77777777" w:rsidR="007B729F" w:rsidRDefault="007B729F">
      <w:pPr>
        <w:pStyle w:val="Text"/>
        <w:rPr>
          <w:color w:val="auto"/>
        </w:rPr>
      </w:pPr>
      <w:r>
        <w:rPr>
          <w:color w:val="auto"/>
        </w:rPr>
        <w:t>Date of last renewal:</w:t>
      </w:r>
    </w:p>
    <w:p w14:paraId="36D61E2D" w14:textId="77777777" w:rsidR="007B729F" w:rsidRDefault="007B729F">
      <w:pPr>
        <w:pStyle w:val="Formatvorlageberschrift1Automatisch"/>
      </w:pPr>
      <w:r>
        <w:t>DATE OF REVISION OF THE TEXT</w:t>
      </w:r>
    </w:p>
    <w:p w14:paraId="4F507BF0" w14:textId="77777777" w:rsidR="007B729F" w:rsidRDefault="007B729F">
      <w:pPr>
        <w:pStyle w:val="Text"/>
        <w:rPr>
          <w:color w:val="auto"/>
        </w:rPr>
      </w:pPr>
    </w:p>
    <w:p w14:paraId="5DAF8CFD" w14:textId="65BC488A" w:rsidR="007B729F" w:rsidRDefault="007B729F">
      <w:pPr>
        <w:pStyle w:val="Formatvorlageberschrift1Automatisch"/>
      </w:pPr>
      <w:r>
        <w:t>LEGAL CATEGORY</w:t>
      </w:r>
    </w:p>
    <w:p w14:paraId="32C0A7D8" w14:textId="0337CD33" w:rsidR="007B729F" w:rsidRDefault="007B729F">
      <w:pPr>
        <w:pStyle w:val="Text"/>
        <w:jc w:val="left"/>
        <w:rPr>
          <w:color w:val="auto"/>
        </w:rPr>
      </w:pPr>
      <w:r>
        <w:rPr>
          <w:color w:val="auto"/>
        </w:rPr>
        <w:t>For prescription only.</w:t>
      </w:r>
    </w:p>
    <w:sectPr w:rsidR="007B729F" w:rsidSect="005021BE">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1134" w:left="1701" w:header="113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53B5" w14:textId="77777777" w:rsidR="00A42B2F" w:rsidRDefault="00A42B2F" w:rsidP="007B729F">
      <w:r>
        <w:separator/>
      </w:r>
    </w:p>
  </w:endnote>
  <w:endnote w:type="continuationSeparator" w:id="0">
    <w:p w14:paraId="62E9C1CC" w14:textId="77777777" w:rsidR="00A42B2F" w:rsidRDefault="00A42B2F" w:rsidP="007B729F">
      <w:r>
        <w:continuationSeparator/>
      </w:r>
    </w:p>
  </w:endnote>
  <w:endnote w:type="continuationNotice" w:id="1">
    <w:p w14:paraId="292C14F3" w14:textId="77777777" w:rsidR="00A42B2F" w:rsidRDefault="00A42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Yu Gothic"/>
    <w:panose1 w:val="00000000000000000000"/>
    <w:charset w:val="00"/>
    <w:family w:val="roman"/>
    <w:notTrueType/>
    <w:pitch w:val="default"/>
    <w:sig w:usb0="00000003" w:usb1="00000000" w:usb2="00000000" w:usb3="00000000" w:csb0="00000001" w:csb1="00000000"/>
  </w:font>
  <w:font w:name="TimesNewRoman">
    <w:altName w:val="Yu Gothic"/>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2C4A" w14:textId="77777777" w:rsidR="008B79E3" w:rsidRDefault="008B79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E87E" w14:textId="5F2FFDE5" w:rsidR="00DA5BAD" w:rsidRPr="00513B10" w:rsidRDefault="00DA5BAD" w:rsidP="00EC1884">
    <w:pPr>
      <w:pStyle w:val="Footer"/>
      <w:rPr>
        <w:lang w:val="de-AT"/>
      </w:rPr>
    </w:pPr>
    <w:r>
      <w:fldChar w:fldCharType="begin"/>
    </w:r>
    <w:r w:rsidRPr="00513B10">
      <w:rPr>
        <w:lang w:val="de-AT"/>
      </w:rPr>
      <w:instrText xml:space="preserve"> FILENAME </w:instrText>
    </w:r>
    <w:r>
      <w:fldChar w:fldCharType="separate"/>
    </w:r>
    <w:r w:rsidR="008B79E3">
      <w:rPr>
        <w:lang w:val="de-AT"/>
      </w:rPr>
      <w:t>20240418_spc_853_DCP_33.31_en.docx</w:t>
    </w:r>
    <w:r>
      <w:fldChar w:fldCharType="end"/>
    </w:r>
    <w:r w:rsidRPr="00513B10">
      <w:rPr>
        <w:lang w:val="de-AT"/>
      </w:rPr>
      <w:tab/>
    </w:r>
    <w:r>
      <w:rPr>
        <w:rStyle w:val="PageNumber"/>
        <w:i/>
      </w:rPr>
      <w:fldChar w:fldCharType="begin"/>
    </w:r>
    <w:r w:rsidRPr="00513B10">
      <w:rPr>
        <w:rStyle w:val="PageNumber"/>
        <w:i/>
        <w:lang w:val="de-AT"/>
      </w:rPr>
      <w:instrText xml:space="preserve"> PAGE </w:instrText>
    </w:r>
    <w:r>
      <w:rPr>
        <w:rStyle w:val="PageNumber"/>
        <w:i/>
      </w:rPr>
      <w:fldChar w:fldCharType="separate"/>
    </w:r>
    <w:r>
      <w:rPr>
        <w:rStyle w:val="PageNumber"/>
        <w:i/>
        <w:lang w:val="de-AT"/>
      </w:rPr>
      <w:t>1</w:t>
    </w:r>
    <w:r>
      <w:rPr>
        <w:rStyle w:val="PageNumber"/>
        <w:i/>
      </w:rPr>
      <w:fldChar w:fldCharType="end"/>
    </w:r>
    <w:r w:rsidRPr="00513B10">
      <w:rPr>
        <w:rStyle w:val="PageNumber"/>
        <w:i/>
        <w:lang w:val="de-AT"/>
      </w:rPr>
      <w:t>/</w:t>
    </w:r>
    <w:r>
      <w:rPr>
        <w:rStyle w:val="PageNumber"/>
        <w:i/>
      </w:rPr>
      <w:fldChar w:fldCharType="begin"/>
    </w:r>
    <w:r w:rsidRPr="00513B10">
      <w:rPr>
        <w:rStyle w:val="PageNumber"/>
        <w:i/>
        <w:lang w:val="de-AT"/>
      </w:rPr>
      <w:instrText xml:space="preserve"> NUMPAGES </w:instrText>
    </w:r>
    <w:r>
      <w:rPr>
        <w:rStyle w:val="PageNumber"/>
        <w:i/>
      </w:rPr>
      <w:fldChar w:fldCharType="separate"/>
    </w:r>
    <w:r>
      <w:rPr>
        <w:rStyle w:val="PageNumber"/>
        <w:i/>
        <w:lang w:val="de-AT"/>
      </w:rPr>
      <w:t>21</w:t>
    </w:r>
    <w:r>
      <w:rPr>
        <w:rStyle w:val="PageNumber"/>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4A406" w14:textId="77777777" w:rsidR="008B79E3" w:rsidRDefault="008B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B0B7F3" w14:textId="77777777" w:rsidR="00A42B2F" w:rsidRDefault="00A42B2F" w:rsidP="007B729F">
      <w:r>
        <w:separator/>
      </w:r>
    </w:p>
  </w:footnote>
  <w:footnote w:type="continuationSeparator" w:id="0">
    <w:p w14:paraId="28480CC6" w14:textId="77777777" w:rsidR="00A42B2F" w:rsidRDefault="00A42B2F" w:rsidP="007B729F">
      <w:r>
        <w:continuationSeparator/>
      </w:r>
    </w:p>
  </w:footnote>
  <w:footnote w:type="continuationNotice" w:id="1">
    <w:p w14:paraId="0D696405" w14:textId="77777777" w:rsidR="00A42B2F" w:rsidRDefault="00A42B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E5CEA" w14:textId="77777777" w:rsidR="008B79E3" w:rsidRDefault="008B7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FED89" w14:textId="77777777" w:rsidR="008B79E3" w:rsidRDefault="008B79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C65D" w14:textId="77777777" w:rsidR="008B79E3" w:rsidRDefault="008B79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64F23"/>
    <w:multiLevelType w:val="hybridMultilevel"/>
    <w:tmpl w:val="53485C6E"/>
    <w:lvl w:ilvl="0" w:tplc="11CE744E">
      <w:start w:val="1"/>
      <w:numFmt w:val="bullet"/>
      <w:lvlText w:val=""/>
      <w:lvlJc w:val="left"/>
      <w:pPr>
        <w:tabs>
          <w:tab w:val="num" w:pos="360"/>
        </w:tabs>
        <w:ind w:left="360" w:hanging="360"/>
      </w:pPr>
      <w:rPr>
        <w:rFonts w:ascii="Symbol" w:hAnsi="Symbol" w:hint="default"/>
        <w:sz w:val="16"/>
        <w:szCs w:val="16"/>
      </w:rPr>
    </w:lvl>
    <w:lvl w:ilvl="1" w:tplc="2F228B4E" w:tentative="1">
      <w:start w:val="1"/>
      <w:numFmt w:val="bullet"/>
      <w:lvlText w:val="o"/>
      <w:lvlJc w:val="left"/>
      <w:pPr>
        <w:tabs>
          <w:tab w:val="num" w:pos="1440"/>
        </w:tabs>
        <w:ind w:left="1440" w:hanging="360"/>
      </w:pPr>
      <w:rPr>
        <w:rFonts w:ascii="Courier New" w:hAnsi="Courier New" w:cs="Courier New" w:hint="default"/>
      </w:rPr>
    </w:lvl>
    <w:lvl w:ilvl="2" w:tplc="8F58CD26" w:tentative="1">
      <w:start w:val="1"/>
      <w:numFmt w:val="bullet"/>
      <w:lvlText w:val=""/>
      <w:lvlJc w:val="left"/>
      <w:pPr>
        <w:tabs>
          <w:tab w:val="num" w:pos="2160"/>
        </w:tabs>
        <w:ind w:left="2160" w:hanging="360"/>
      </w:pPr>
      <w:rPr>
        <w:rFonts w:ascii="Wingdings" w:hAnsi="Wingdings" w:hint="default"/>
      </w:rPr>
    </w:lvl>
    <w:lvl w:ilvl="3" w:tplc="CB5C1530" w:tentative="1">
      <w:start w:val="1"/>
      <w:numFmt w:val="bullet"/>
      <w:lvlText w:val=""/>
      <w:lvlJc w:val="left"/>
      <w:pPr>
        <w:tabs>
          <w:tab w:val="num" w:pos="2880"/>
        </w:tabs>
        <w:ind w:left="2880" w:hanging="360"/>
      </w:pPr>
      <w:rPr>
        <w:rFonts w:ascii="Symbol" w:hAnsi="Symbol" w:hint="default"/>
      </w:rPr>
    </w:lvl>
    <w:lvl w:ilvl="4" w:tplc="38929A94" w:tentative="1">
      <w:start w:val="1"/>
      <w:numFmt w:val="bullet"/>
      <w:lvlText w:val="o"/>
      <w:lvlJc w:val="left"/>
      <w:pPr>
        <w:tabs>
          <w:tab w:val="num" w:pos="3600"/>
        </w:tabs>
        <w:ind w:left="3600" w:hanging="360"/>
      </w:pPr>
      <w:rPr>
        <w:rFonts w:ascii="Courier New" w:hAnsi="Courier New" w:cs="Courier New" w:hint="default"/>
      </w:rPr>
    </w:lvl>
    <w:lvl w:ilvl="5" w:tplc="BCC67BD0" w:tentative="1">
      <w:start w:val="1"/>
      <w:numFmt w:val="bullet"/>
      <w:lvlText w:val=""/>
      <w:lvlJc w:val="left"/>
      <w:pPr>
        <w:tabs>
          <w:tab w:val="num" w:pos="4320"/>
        </w:tabs>
        <w:ind w:left="4320" w:hanging="360"/>
      </w:pPr>
      <w:rPr>
        <w:rFonts w:ascii="Wingdings" w:hAnsi="Wingdings" w:hint="default"/>
      </w:rPr>
    </w:lvl>
    <w:lvl w:ilvl="6" w:tplc="57D62FBE" w:tentative="1">
      <w:start w:val="1"/>
      <w:numFmt w:val="bullet"/>
      <w:lvlText w:val=""/>
      <w:lvlJc w:val="left"/>
      <w:pPr>
        <w:tabs>
          <w:tab w:val="num" w:pos="5040"/>
        </w:tabs>
        <w:ind w:left="5040" w:hanging="360"/>
      </w:pPr>
      <w:rPr>
        <w:rFonts w:ascii="Symbol" w:hAnsi="Symbol" w:hint="default"/>
      </w:rPr>
    </w:lvl>
    <w:lvl w:ilvl="7" w:tplc="F71A328A" w:tentative="1">
      <w:start w:val="1"/>
      <w:numFmt w:val="bullet"/>
      <w:lvlText w:val="o"/>
      <w:lvlJc w:val="left"/>
      <w:pPr>
        <w:tabs>
          <w:tab w:val="num" w:pos="5760"/>
        </w:tabs>
        <w:ind w:left="5760" w:hanging="360"/>
      </w:pPr>
      <w:rPr>
        <w:rFonts w:ascii="Courier New" w:hAnsi="Courier New" w:cs="Courier New" w:hint="default"/>
      </w:rPr>
    </w:lvl>
    <w:lvl w:ilvl="8" w:tplc="56AA320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6C2905"/>
    <w:multiLevelType w:val="hybridMultilevel"/>
    <w:tmpl w:val="BE88DF24"/>
    <w:lvl w:ilvl="0" w:tplc="B3F06ACA">
      <w:start w:val="1"/>
      <w:numFmt w:val="bullet"/>
      <w:lvlText w:val=""/>
      <w:lvlJc w:val="left"/>
      <w:pPr>
        <w:tabs>
          <w:tab w:val="num" w:pos="360"/>
        </w:tabs>
        <w:ind w:left="360" w:hanging="360"/>
      </w:pPr>
      <w:rPr>
        <w:rFonts w:ascii="Symbol" w:hAnsi="Symbol" w:hint="default"/>
        <w:sz w:val="16"/>
        <w:szCs w:val="16"/>
      </w:rPr>
    </w:lvl>
    <w:lvl w:ilvl="1" w:tplc="227074A6" w:tentative="1">
      <w:start w:val="1"/>
      <w:numFmt w:val="bullet"/>
      <w:lvlText w:val="o"/>
      <w:lvlJc w:val="left"/>
      <w:pPr>
        <w:tabs>
          <w:tab w:val="num" w:pos="1440"/>
        </w:tabs>
        <w:ind w:left="1440" w:hanging="360"/>
      </w:pPr>
      <w:rPr>
        <w:rFonts w:ascii="Courier New" w:hAnsi="Courier New" w:cs="Courier New" w:hint="default"/>
      </w:rPr>
    </w:lvl>
    <w:lvl w:ilvl="2" w:tplc="9C76FB0A" w:tentative="1">
      <w:start w:val="1"/>
      <w:numFmt w:val="bullet"/>
      <w:lvlText w:val=""/>
      <w:lvlJc w:val="left"/>
      <w:pPr>
        <w:tabs>
          <w:tab w:val="num" w:pos="2160"/>
        </w:tabs>
        <w:ind w:left="2160" w:hanging="360"/>
      </w:pPr>
      <w:rPr>
        <w:rFonts w:ascii="Wingdings" w:hAnsi="Wingdings" w:hint="default"/>
      </w:rPr>
    </w:lvl>
    <w:lvl w:ilvl="3" w:tplc="455A21D8" w:tentative="1">
      <w:start w:val="1"/>
      <w:numFmt w:val="bullet"/>
      <w:lvlText w:val=""/>
      <w:lvlJc w:val="left"/>
      <w:pPr>
        <w:tabs>
          <w:tab w:val="num" w:pos="2880"/>
        </w:tabs>
        <w:ind w:left="2880" w:hanging="360"/>
      </w:pPr>
      <w:rPr>
        <w:rFonts w:ascii="Symbol" w:hAnsi="Symbol" w:hint="default"/>
      </w:rPr>
    </w:lvl>
    <w:lvl w:ilvl="4" w:tplc="D3CEFC78" w:tentative="1">
      <w:start w:val="1"/>
      <w:numFmt w:val="bullet"/>
      <w:lvlText w:val="o"/>
      <w:lvlJc w:val="left"/>
      <w:pPr>
        <w:tabs>
          <w:tab w:val="num" w:pos="3600"/>
        </w:tabs>
        <w:ind w:left="3600" w:hanging="360"/>
      </w:pPr>
      <w:rPr>
        <w:rFonts w:ascii="Courier New" w:hAnsi="Courier New" w:cs="Courier New" w:hint="default"/>
      </w:rPr>
    </w:lvl>
    <w:lvl w:ilvl="5" w:tplc="0E169E76" w:tentative="1">
      <w:start w:val="1"/>
      <w:numFmt w:val="bullet"/>
      <w:lvlText w:val=""/>
      <w:lvlJc w:val="left"/>
      <w:pPr>
        <w:tabs>
          <w:tab w:val="num" w:pos="4320"/>
        </w:tabs>
        <w:ind w:left="4320" w:hanging="360"/>
      </w:pPr>
      <w:rPr>
        <w:rFonts w:ascii="Wingdings" w:hAnsi="Wingdings" w:hint="default"/>
      </w:rPr>
    </w:lvl>
    <w:lvl w:ilvl="6" w:tplc="C5F623CE" w:tentative="1">
      <w:start w:val="1"/>
      <w:numFmt w:val="bullet"/>
      <w:lvlText w:val=""/>
      <w:lvlJc w:val="left"/>
      <w:pPr>
        <w:tabs>
          <w:tab w:val="num" w:pos="5040"/>
        </w:tabs>
        <w:ind w:left="5040" w:hanging="360"/>
      </w:pPr>
      <w:rPr>
        <w:rFonts w:ascii="Symbol" w:hAnsi="Symbol" w:hint="default"/>
      </w:rPr>
    </w:lvl>
    <w:lvl w:ilvl="7" w:tplc="F48437D4" w:tentative="1">
      <w:start w:val="1"/>
      <w:numFmt w:val="bullet"/>
      <w:lvlText w:val="o"/>
      <w:lvlJc w:val="left"/>
      <w:pPr>
        <w:tabs>
          <w:tab w:val="num" w:pos="5760"/>
        </w:tabs>
        <w:ind w:left="5760" w:hanging="360"/>
      </w:pPr>
      <w:rPr>
        <w:rFonts w:ascii="Courier New" w:hAnsi="Courier New" w:cs="Courier New" w:hint="default"/>
      </w:rPr>
    </w:lvl>
    <w:lvl w:ilvl="8" w:tplc="0D0C0B5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98D7B7A"/>
    <w:multiLevelType w:val="hybridMultilevel"/>
    <w:tmpl w:val="B308D0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A25266D"/>
    <w:multiLevelType w:val="hybridMultilevel"/>
    <w:tmpl w:val="CB04ED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D8E787C"/>
    <w:multiLevelType w:val="hybridMultilevel"/>
    <w:tmpl w:val="E9305472"/>
    <w:lvl w:ilvl="0" w:tplc="B446569E">
      <w:start w:val="1"/>
      <w:numFmt w:val="bullet"/>
      <w:lvlText w:val=""/>
      <w:lvlJc w:val="left"/>
      <w:pPr>
        <w:tabs>
          <w:tab w:val="num" w:pos="360"/>
        </w:tabs>
        <w:ind w:left="360" w:hanging="360"/>
      </w:pPr>
      <w:rPr>
        <w:rFonts w:ascii="Symbol" w:hAnsi="Symbol" w:hint="default"/>
        <w:sz w:val="16"/>
        <w:szCs w:val="16"/>
      </w:rPr>
    </w:lvl>
    <w:lvl w:ilvl="1" w:tplc="82206428" w:tentative="1">
      <w:start w:val="1"/>
      <w:numFmt w:val="bullet"/>
      <w:lvlText w:val="o"/>
      <w:lvlJc w:val="left"/>
      <w:pPr>
        <w:tabs>
          <w:tab w:val="num" w:pos="1440"/>
        </w:tabs>
        <w:ind w:left="1440" w:hanging="360"/>
      </w:pPr>
      <w:rPr>
        <w:rFonts w:ascii="Courier New" w:hAnsi="Courier New" w:cs="Courier New" w:hint="default"/>
      </w:rPr>
    </w:lvl>
    <w:lvl w:ilvl="2" w:tplc="BFBAF33C" w:tentative="1">
      <w:start w:val="1"/>
      <w:numFmt w:val="bullet"/>
      <w:lvlText w:val=""/>
      <w:lvlJc w:val="left"/>
      <w:pPr>
        <w:tabs>
          <w:tab w:val="num" w:pos="2160"/>
        </w:tabs>
        <w:ind w:left="2160" w:hanging="360"/>
      </w:pPr>
      <w:rPr>
        <w:rFonts w:ascii="Wingdings" w:hAnsi="Wingdings" w:hint="default"/>
      </w:rPr>
    </w:lvl>
    <w:lvl w:ilvl="3" w:tplc="C882C8BE" w:tentative="1">
      <w:start w:val="1"/>
      <w:numFmt w:val="bullet"/>
      <w:lvlText w:val=""/>
      <w:lvlJc w:val="left"/>
      <w:pPr>
        <w:tabs>
          <w:tab w:val="num" w:pos="2880"/>
        </w:tabs>
        <w:ind w:left="2880" w:hanging="360"/>
      </w:pPr>
      <w:rPr>
        <w:rFonts w:ascii="Symbol" w:hAnsi="Symbol" w:hint="default"/>
      </w:rPr>
    </w:lvl>
    <w:lvl w:ilvl="4" w:tplc="D91E11BC" w:tentative="1">
      <w:start w:val="1"/>
      <w:numFmt w:val="bullet"/>
      <w:lvlText w:val="o"/>
      <w:lvlJc w:val="left"/>
      <w:pPr>
        <w:tabs>
          <w:tab w:val="num" w:pos="3600"/>
        </w:tabs>
        <w:ind w:left="3600" w:hanging="360"/>
      </w:pPr>
      <w:rPr>
        <w:rFonts w:ascii="Courier New" w:hAnsi="Courier New" w:cs="Courier New" w:hint="default"/>
      </w:rPr>
    </w:lvl>
    <w:lvl w:ilvl="5" w:tplc="D07A57CC" w:tentative="1">
      <w:start w:val="1"/>
      <w:numFmt w:val="bullet"/>
      <w:lvlText w:val=""/>
      <w:lvlJc w:val="left"/>
      <w:pPr>
        <w:tabs>
          <w:tab w:val="num" w:pos="4320"/>
        </w:tabs>
        <w:ind w:left="4320" w:hanging="360"/>
      </w:pPr>
      <w:rPr>
        <w:rFonts w:ascii="Wingdings" w:hAnsi="Wingdings" w:hint="default"/>
      </w:rPr>
    </w:lvl>
    <w:lvl w:ilvl="6" w:tplc="BD0E6506" w:tentative="1">
      <w:start w:val="1"/>
      <w:numFmt w:val="bullet"/>
      <w:lvlText w:val=""/>
      <w:lvlJc w:val="left"/>
      <w:pPr>
        <w:tabs>
          <w:tab w:val="num" w:pos="5040"/>
        </w:tabs>
        <w:ind w:left="5040" w:hanging="360"/>
      </w:pPr>
      <w:rPr>
        <w:rFonts w:ascii="Symbol" w:hAnsi="Symbol" w:hint="default"/>
      </w:rPr>
    </w:lvl>
    <w:lvl w:ilvl="7" w:tplc="0464D8DA" w:tentative="1">
      <w:start w:val="1"/>
      <w:numFmt w:val="bullet"/>
      <w:lvlText w:val="o"/>
      <w:lvlJc w:val="left"/>
      <w:pPr>
        <w:tabs>
          <w:tab w:val="num" w:pos="5760"/>
        </w:tabs>
        <w:ind w:left="5760" w:hanging="360"/>
      </w:pPr>
      <w:rPr>
        <w:rFonts w:ascii="Courier New" w:hAnsi="Courier New" w:cs="Courier New" w:hint="default"/>
      </w:rPr>
    </w:lvl>
    <w:lvl w:ilvl="8" w:tplc="D0C81CD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C96073"/>
    <w:multiLevelType w:val="hybridMultilevel"/>
    <w:tmpl w:val="E7ECC58C"/>
    <w:lvl w:ilvl="0" w:tplc="198C6818">
      <w:start w:val="1"/>
      <w:numFmt w:val="bullet"/>
      <w:lvlText w:val=""/>
      <w:lvlJc w:val="left"/>
      <w:pPr>
        <w:tabs>
          <w:tab w:val="num" w:pos="360"/>
        </w:tabs>
        <w:ind w:left="360" w:hanging="360"/>
      </w:pPr>
      <w:rPr>
        <w:rFonts w:ascii="Symbol" w:hAnsi="Symbol" w:hint="default"/>
        <w:sz w:val="16"/>
        <w:szCs w:val="16"/>
      </w:rPr>
    </w:lvl>
    <w:lvl w:ilvl="1" w:tplc="D49022D4" w:tentative="1">
      <w:start w:val="1"/>
      <w:numFmt w:val="bullet"/>
      <w:lvlText w:val="o"/>
      <w:lvlJc w:val="left"/>
      <w:pPr>
        <w:tabs>
          <w:tab w:val="num" w:pos="1440"/>
        </w:tabs>
        <w:ind w:left="1440" w:hanging="360"/>
      </w:pPr>
      <w:rPr>
        <w:rFonts w:ascii="Courier New" w:hAnsi="Courier New" w:cs="Courier New" w:hint="default"/>
      </w:rPr>
    </w:lvl>
    <w:lvl w:ilvl="2" w:tplc="7F26475A" w:tentative="1">
      <w:start w:val="1"/>
      <w:numFmt w:val="bullet"/>
      <w:lvlText w:val=""/>
      <w:lvlJc w:val="left"/>
      <w:pPr>
        <w:tabs>
          <w:tab w:val="num" w:pos="2160"/>
        </w:tabs>
        <w:ind w:left="2160" w:hanging="360"/>
      </w:pPr>
      <w:rPr>
        <w:rFonts w:ascii="Wingdings" w:hAnsi="Wingdings" w:hint="default"/>
      </w:rPr>
    </w:lvl>
    <w:lvl w:ilvl="3" w:tplc="A5F065F2" w:tentative="1">
      <w:start w:val="1"/>
      <w:numFmt w:val="bullet"/>
      <w:lvlText w:val=""/>
      <w:lvlJc w:val="left"/>
      <w:pPr>
        <w:tabs>
          <w:tab w:val="num" w:pos="2880"/>
        </w:tabs>
        <w:ind w:left="2880" w:hanging="360"/>
      </w:pPr>
      <w:rPr>
        <w:rFonts w:ascii="Symbol" w:hAnsi="Symbol" w:hint="default"/>
      </w:rPr>
    </w:lvl>
    <w:lvl w:ilvl="4" w:tplc="61A2E488" w:tentative="1">
      <w:start w:val="1"/>
      <w:numFmt w:val="bullet"/>
      <w:lvlText w:val="o"/>
      <w:lvlJc w:val="left"/>
      <w:pPr>
        <w:tabs>
          <w:tab w:val="num" w:pos="3600"/>
        </w:tabs>
        <w:ind w:left="3600" w:hanging="360"/>
      </w:pPr>
      <w:rPr>
        <w:rFonts w:ascii="Courier New" w:hAnsi="Courier New" w:cs="Courier New" w:hint="default"/>
      </w:rPr>
    </w:lvl>
    <w:lvl w:ilvl="5" w:tplc="F92CB646" w:tentative="1">
      <w:start w:val="1"/>
      <w:numFmt w:val="bullet"/>
      <w:lvlText w:val=""/>
      <w:lvlJc w:val="left"/>
      <w:pPr>
        <w:tabs>
          <w:tab w:val="num" w:pos="4320"/>
        </w:tabs>
        <w:ind w:left="4320" w:hanging="360"/>
      </w:pPr>
      <w:rPr>
        <w:rFonts w:ascii="Wingdings" w:hAnsi="Wingdings" w:hint="default"/>
      </w:rPr>
    </w:lvl>
    <w:lvl w:ilvl="6" w:tplc="1862BFCA" w:tentative="1">
      <w:start w:val="1"/>
      <w:numFmt w:val="bullet"/>
      <w:lvlText w:val=""/>
      <w:lvlJc w:val="left"/>
      <w:pPr>
        <w:tabs>
          <w:tab w:val="num" w:pos="5040"/>
        </w:tabs>
        <w:ind w:left="5040" w:hanging="360"/>
      </w:pPr>
      <w:rPr>
        <w:rFonts w:ascii="Symbol" w:hAnsi="Symbol" w:hint="default"/>
      </w:rPr>
    </w:lvl>
    <w:lvl w:ilvl="7" w:tplc="1B70E890" w:tentative="1">
      <w:start w:val="1"/>
      <w:numFmt w:val="bullet"/>
      <w:lvlText w:val="o"/>
      <w:lvlJc w:val="left"/>
      <w:pPr>
        <w:tabs>
          <w:tab w:val="num" w:pos="5760"/>
        </w:tabs>
        <w:ind w:left="5760" w:hanging="360"/>
      </w:pPr>
      <w:rPr>
        <w:rFonts w:ascii="Courier New" w:hAnsi="Courier New" w:cs="Courier New" w:hint="default"/>
      </w:rPr>
    </w:lvl>
    <w:lvl w:ilvl="8" w:tplc="88F0FBB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28412A"/>
    <w:multiLevelType w:val="hybridMultilevel"/>
    <w:tmpl w:val="4644219E"/>
    <w:lvl w:ilvl="0" w:tplc="0C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4AD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CA873F0"/>
    <w:multiLevelType w:val="singleLevel"/>
    <w:tmpl w:val="BDB8DADA"/>
    <w:lvl w:ilvl="0">
      <w:start w:val="1"/>
      <w:numFmt w:val="bullet"/>
      <w:lvlText w:val="-"/>
      <w:lvlJc w:val="left"/>
      <w:pPr>
        <w:tabs>
          <w:tab w:val="num" w:pos="360"/>
        </w:tabs>
        <w:ind w:left="227" w:hanging="227"/>
      </w:pPr>
      <w:rPr>
        <w:b/>
        <w:i w:val="0"/>
        <w:sz w:val="16"/>
      </w:rPr>
    </w:lvl>
  </w:abstractNum>
  <w:abstractNum w:abstractNumId="9" w15:restartNumberingAfterBreak="0">
    <w:nsid w:val="302B1FC3"/>
    <w:multiLevelType w:val="hybridMultilevel"/>
    <w:tmpl w:val="641854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6F1A4C"/>
    <w:multiLevelType w:val="hybridMultilevel"/>
    <w:tmpl w:val="35BE2AB8"/>
    <w:lvl w:ilvl="0" w:tplc="C4800592">
      <w:start w:val="1"/>
      <w:numFmt w:val="bullet"/>
      <w:lvlText w:val=""/>
      <w:lvlJc w:val="left"/>
      <w:pPr>
        <w:ind w:left="72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52169F6"/>
    <w:multiLevelType w:val="singleLevel"/>
    <w:tmpl w:val="2B721A82"/>
    <w:lvl w:ilvl="0">
      <w:start w:val="1"/>
      <w:numFmt w:val="bullet"/>
      <w:lvlText w:val="-"/>
      <w:lvlJc w:val="left"/>
      <w:pPr>
        <w:tabs>
          <w:tab w:val="num" w:pos="360"/>
        </w:tabs>
        <w:ind w:left="113" w:hanging="113"/>
      </w:pPr>
      <w:rPr>
        <w:b/>
        <w:i w:val="0"/>
        <w:sz w:val="16"/>
      </w:rPr>
    </w:lvl>
  </w:abstractNum>
  <w:abstractNum w:abstractNumId="12" w15:restartNumberingAfterBreak="0">
    <w:nsid w:val="3AA639B3"/>
    <w:multiLevelType w:val="hybridMultilevel"/>
    <w:tmpl w:val="746CD212"/>
    <w:lvl w:ilvl="0" w:tplc="0407000F">
      <w:start w:val="1"/>
      <w:numFmt w:val="decimal"/>
      <w:lvlText w:val="%1."/>
      <w:lvlJc w:val="lef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3" w15:restartNumberingAfterBreak="0">
    <w:nsid w:val="3B4C1C6F"/>
    <w:multiLevelType w:val="hybridMultilevel"/>
    <w:tmpl w:val="11A67D52"/>
    <w:lvl w:ilvl="0" w:tplc="62BA1636">
      <w:start w:val="1"/>
      <w:numFmt w:val="bullet"/>
      <w:lvlText w:val=""/>
      <w:lvlJc w:val="left"/>
      <w:pPr>
        <w:tabs>
          <w:tab w:val="num" w:pos="360"/>
        </w:tabs>
        <w:ind w:left="360" w:hanging="360"/>
      </w:pPr>
      <w:rPr>
        <w:rFonts w:ascii="Symbol" w:hAnsi="Symbol" w:hint="default"/>
        <w:sz w:val="16"/>
        <w:szCs w:val="16"/>
      </w:rPr>
    </w:lvl>
    <w:lvl w:ilvl="1" w:tplc="784A3EDE" w:tentative="1">
      <w:start w:val="1"/>
      <w:numFmt w:val="bullet"/>
      <w:lvlText w:val="o"/>
      <w:lvlJc w:val="left"/>
      <w:pPr>
        <w:tabs>
          <w:tab w:val="num" w:pos="1440"/>
        </w:tabs>
        <w:ind w:left="1440" w:hanging="360"/>
      </w:pPr>
      <w:rPr>
        <w:rFonts w:ascii="Courier New" w:hAnsi="Courier New" w:cs="Courier New" w:hint="default"/>
      </w:rPr>
    </w:lvl>
    <w:lvl w:ilvl="2" w:tplc="33942F66" w:tentative="1">
      <w:start w:val="1"/>
      <w:numFmt w:val="bullet"/>
      <w:lvlText w:val=""/>
      <w:lvlJc w:val="left"/>
      <w:pPr>
        <w:tabs>
          <w:tab w:val="num" w:pos="2160"/>
        </w:tabs>
        <w:ind w:left="2160" w:hanging="360"/>
      </w:pPr>
      <w:rPr>
        <w:rFonts w:ascii="Wingdings" w:hAnsi="Wingdings" w:hint="default"/>
      </w:rPr>
    </w:lvl>
    <w:lvl w:ilvl="3" w:tplc="AE9649BC" w:tentative="1">
      <w:start w:val="1"/>
      <w:numFmt w:val="bullet"/>
      <w:lvlText w:val=""/>
      <w:lvlJc w:val="left"/>
      <w:pPr>
        <w:tabs>
          <w:tab w:val="num" w:pos="2880"/>
        </w:tabs>
        <w:ind w:left="2880" w:hanging="360"/>
      </w:pPr>
      <w:rPr>
        <w:rFonts w:ascii="Symbol" w:hAnsi="Symbol" w:hint="default"/>
      </w:rPr>
    </w:lvl>
    <w:lvl w:ilvl="4" w:tplc="296C83A4" w:tentative="1">
      <w:start w:val="1"/>
      <w:numFmt w:val="bullet"/>
      <w:lvlText w:val="o"/>
      <w:lvlJc w:val="left"/>
      <w:pPr>
        <w:tabs>
          <w:tab w:val="num" w:pos="3600"/>
        </w:tabs>
        <w:ind w:left="3600" w:hanging="360"/>
      </w:pPr>
      <w:rPr>
        <w:rFonts w:ascii="Courier New" w:hAnsi="Courier New" w:cs="Courier New" w:hint="default"/>
      </w:rPr>
    </w:lvl>
    <w:lvl w:ilvl="5" w:tplc="B22CB998" w:tentative="1">
      <w:start w:val="1"/>
      <w:numFmt w:val="bullet"/>
      <w:lvlText w:val=""/>
      <w:lvlJc w:val="left"/>
      <w:pPr>
        <w:tabs>
          <w:tab w:val="num" w:pos="4320"/>
        </w:tabs>
        <w:ind w:left="4320" w:hanging="360"/>
      </w:pPr>
      <w:rPr>
        <w:rFonts w:ascii="Wingdings" w:hAnsi="Wingdings" w:hint="default"/>
      </w:rPr>
    </w:lvl>
    <w:lvl w:ilvl="6" w:tplc="8B140C3E" w:tentative="1">
      <w:start w:val="1"/>
      <w:numFmt w:val="bullet"/>
      <w:lvlText w:val=""/>
      <w:lvlJc w:val="left"/>
      <w:pPr>
        <w:tabs>
          <w:tab w:val="num" w:pos="5040"/>
        </w:tabs>
        <w:ind w:left="5040" w:hanging="360"/>
      </w:pPr>
      <w:rPr>
        <w:rFonts w:ascii="Symbol" w:hAnsi="Symbol" w:hint="default"/>
      </w:rPr>
    </w:lvl>
    <w:lvl w:ilvl="7" w:tplc="EE220F26" w:tentative="1">
      <w:start w:val="1"/>
      <w:numFmt w:val="bullet"/>
      <w:lvlText w:val="o"/>
      <w:lvlJc w:val="left"/>
      <w:pPr>
        <w:tabs>
          <w:tab w:val="num" w:pos="5760"/>
        </w:tabs>
        <w:ind w:left="5760" w:hanging="360"/>
      </w:pPr>
      <w:rPr>
        <w:rFonts w:ascii="Courier New" w:hAnsi="Courier New" w:cs="Courier New" w:hint="default"/>
      </w:rPr>
    </w:lvl>
    <w:lvl w:ilvl="8" w:tplc="75E8DC62"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AF5AAF"/>
    <w:multiLevelType w:val="multilevel"/>
    <w:tmpl w:val="E5FC81CC"/>
    <w:lvl w:ilvl="0">
      <w:start w:val="1"/>
      <w:numFmt w:val="decimal"/>
      <w:pStyle w:val="Heading1"/>
      <w:lvlText w:val="%1"/>
      <w:lvlJc w:val="left"/>
      <w:pPr>
        <w:tabs>
          <w:tab w:val="num" w:pos="432"/>
        </w:tabs>
        <w:ind w:left="432" w:hanging="432"/>
      </w:pPr>
      <w:rPr>
        <w:rFonts w:hint="default"/>
        <w:caps/>
      </w:rPr>
    </w:lvl>
    <w:lvl w:ilvl="1">
      <w:start w:val="1"/>
      <w:numFmt w:val="decimal"/>
      <w:pStyle w:val="Heading2"/>
      <w:lvlText w:val="%1.%2"/>
      <w:lvlJc w:val="left"/>
      <w:pPr>
        <w:tabs>
          <w:tab w:val="num" w:pos="1116"/>
        </w:tabs>
        <w:ind w:left="1116" w:hanging="1116"/>
      </w:pPr>
      <w:rPr>
        <w:rFonts w:hint="default"/>
        <w:caps/>
      </w:rPr>
    </w:lvl>
    <w:lvl w:ilvl="2">
      <w:start w:val="1"/>
      <w:numFmt w:val="decimal"/>
      <w:pStyle w:val="Heading3"/>
      <w:lvlText w:val="%1.%2.%3"/>
      <w:lvlJc w:val="left"/>
      <w:pPr>
        <w:tabs>
          <w:tab w:val="num" w:pos="720"/>
        </w:tabs>
        <w:ind w:left="720" w:hanging="720"/>
      </w:pPr>
      <w:rPr>
        <w:rFonts w:hint="default"/>
        <w:caps/>
      </w:rPr>
    </w:lvl>
    <w:lvl w:ilvl="3">
      <w:start w:val="1"/>
      <w:numFmt w:val="decimal"/>
      <w:pStyle w:val="Heading4"/>
      <w:lvlText w:val="%1.%2.%3.%4"/>
      <w:lvlJc w:val="left"/>
      <w:pPr>
        <w:tabs>
          <w:tab w:val="num" w:pos="1104"/>
        </w:tabs>
        <w:ind w:left="1104" w:hanging="1104"/>
      </w:pPr>
      <w:rPr>
        <w:rFonts w:hint="default"/>
      </w:rPr>
    </w:lvl>
    <w:lvl w:ilvl="4">
      <w:start w:val="1"/>
      <w:numFmt w:val="decimal"/>
      <w:pStyle w:val="Heading5"/>
      <w:lvlText w:val="%1.%2.%3.%4.%5"/>
      <w:lvlJc w:val="left"/>
      <w:pPr>
        <w:tabs>
          <w:tab w:val="num" w:pos="2088"/>
        </w:tabs>
        <w:ind w:left="2088" w:hanging="208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47F2593B"/>
    <w:multiLevelType w:val="hybridMultilevel"/>
    <w:tmpl w:val="CDDE7C44"/>
    <w:lvl w:ilvl="0" w:tplc="3F249E0C">
      <w:start w:val="1"/>
      <w:numFmt w:val="bullet"/>
      <w:lvlText w:val=""/>
      <w:lvlJc w:val="left"/>
      <w:pPr>
        <w:tabs>
          <w:tab w:val="num" w:pos="360"/>
        </w:tabs>
        <w:ind w:left="360" w:hanging="360"/>
      </w:pPr>
      <w:rPr>
        <w:rFonts w:ascii="Symbol" w:hAnsi="Symbol" w:hint="default"/>
        <w:sz w:val="16"/>
        <w:szCs w:val="16"/>
      </w:rPr>
    </w:lvl>
    <w:lvl w:ilvl="1" w:tplc="D8C203D6" w:tentative="1">
      <w:start w:val="1"/>
      <w:numFmt w:val="bullet"/>
      <w:lvlText w:val="o"/>
      <w:lvlJc w:val="left"/>
      <w:pPr>
        <w:tabs>
          <w:tab w:val="num" w:pos="1440"/>
        </w:tabs>
        <w:ind w:left="1440" w:hanging="360"/>
      </w:pPr>
      <w:rPr>
        <w:rFonts w:ascii="Courier New" w:hAnsi="Courier New" w:cs="Courier New" w:hint="default"/>
      </w:rPr>
    </w:lvl>
    <w:lvl w:ilvl="2" w:tplc="A35C77F2" w:tentative="1">
      <w:start w:val="1"/>
      <w:numFmt w:val="bullet"/>
      <w:lvlText w:val=""/>
      <w:lvlJc w:val="left"/>
      <w:pPr>
        <w:tabs>
          <w:tab w:val="num" w:pos="2160"/>
        </w:tabs>
        <w:ind w:left="2160" w:hanging="360"/>
      </w:pPr>
      <w:rPr>
        <w:rFonts w:ascii="Wingdings" w:hAnsi="Wingdings" w:hint="default"/>
      </w:rPr>
    </w:lvl>
    <w:lvl w:ilvl="3" w:tplc="0E2C2452" w:tentative="1">
      <w:start w:val="1"/>
      <w:numFmt w:val="bullet"/>
      <w:lvlText w:val=""/>
      <w:lvlJc w:val="left"/>
      <w:pPr>
        <w:tabs>
          <w:tab w:val="num" w:pos="2880"/>
        </w:tabs>
        <w:ind w:left="2880" w:hanging="360"/>
      </w:pPr>
      <w:rPr>
        <w:rFonts w:ascii="Symbol" w:hAnsi="Symbol" w:hint="default"/>
      </w:rPr>
    </w:lvl>
    <w:lvl w:ilvl="4" w:tplc="B90A4278" w:tentative="1">
      <w:start w:val="1"/>
      <w:numFmt w:val="bullet"/>
      <w:lvlText w:val="o"/>
      <w:lvlJc w:val="left"/>
      <w:pPr>
        <w:tabs>
          <w:tab w:val="num" w:pos="3600"/>
        </w:tabs>
        <w:ind w:left="3600" w:hanging="360"/>
      </w:pPr>
      <w:rPr>
        <w:rFonts w:ascii="Courier New" w:hAnsi="Courier New" w:cs="Courier New" w:hint="default"/>
      </w:rPr>
    </w:lvl>
    <w:lvl w:ilvl="5" w:tplc="5E0EB2C0" w:tentative="1">
      <w:start w:val="1"/>
      <w:numFmt w:val="bullet"/>
      <w:lvlText w:val=""/>
      <w:lvlJc w:val="left"/>
      <w:pPr>
        <w:tabs>
          <w:tab w:val="num" w:pos="4320"/>
        </w:tabs>
        <w:ind w:left="4320" w:hanging="360"/>
      </w:pPr>
      <w:rPr>
        <w:rFonts w:ascii="Wingdings" w:hAnsi="Wingdings" w:hint="default"/>
      </w:rPr>
    </w:lvl>
    <w:lvl w:ilvl="6" w:tplc="0C6E3184" w:tentative="1">
      <w:start w:val="1"/>
      <w:numFmt w:val="bullet"/>
      <w:lvlText w:val=""/>
      <w:lvlJc w:val="left"/>
      <w:pPr>
        <w:tabs>
          <w:tab w:val="num" w:pos="5040"/>
        </w:tabs>
        <w:ind w:left="5040" w:hanging="360"/>
      </w:pPr>
      <w:rPr>
        <w:rFonts w:ascii="Symbol" w:hAnsi="Symbol" w:hint="default"/>
      </w:rPr>
    </w:lvl>
    <w:lvl w:ilvl="7" w:tplc="211CA744" w:tentative="1">
      <w:start w:val="1"/>
      <w:numFmt w:val="bullet"/>
      <w:lvlText w:val="o"/>
      <w:lvlJc w:val="left"/>
      <w:pPr>
        <w:tabs>
          <w:tab w:val="num" w:pos="5760"/>
        </w:tabs>
        <w:ind w:left="5760" w:hanging="360"/>
      </w:pPr>
      <w:rPr>
        <w:rFonts w:ascii="Courier New" w:hAnsi="Courier New" w:cs="Courier New" w:hint="default"/>
      </w:rPr>
    </w:lvl>
    <w:lvl w:ilvl="8" w:tplc="44D03A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A4C177A"/>
    <w:multiLevelType w:val="singleLevel"/>
    <w:tmpl w:val="2B721A82"/>
    <w:lvl w:ilvl="0">
      <w:start w:val="1"/>
      <w:numFmt w:val="bullet"/>
      <w:lvlText w:val="-"/>
      <w:lvlJc w:val="left"/>
      <w:pPr>
        <w:tabs>
          <w:tab w:val="num" w:pos="360"/>
        </w:tabs>
        <w:ind w:left="113" w:hanging="113"/>
      </w:pPr>
      <w:rPr>
        <w:b/>
        <w:i w:val="0"/>
        <w:sz w:val="16"/>
      </w:rPr>
    </w:lvl>
  </w:abstractNum>
  <w:abstractNum w:abstractNumId="17" w15:restartNumberingAfterBreak="0">
    <w:nsid w:val="4DA61EB5"/>
    <w:multiLevelType w:val="hybridMultilevel"/>
    <w:tmpl w:val="6CA09E64"/>
    <w:lvl w:ilvl="0" w:tplc="C4800592">
      <w:start w:val="1"/>
      <w:numFmt w:val="bullet"/>
      <w:lvlText w:val=""/>
      <w:lvlJc w:val="left"/>
      <w:pPr>
        <w:tabs>
          <w:tab w:val="num" w:pos="360"/>
        </w:tabs>
        <w:ind w:left="360" w:hanging="360"/>
      </w:pPr>
      <w:rPr>
        <w:rFonts w:ascii="Symbol" w:hAnsi="Symbol" w:hint="default"/>
        <w:sz w:val="16"/>
        <w:szCs w:val="16"/>
      </w:rPr>
    </w:lvl>
    <w:lvl w:ilvl="1" w:tplc="23444BD8" w:tentative="1">
      <w:start w:val="1"/>
      <w:numFmt w:val="bullet"/>
      <w:lvlText w:val="o"/>
      <w:lvlJc w:val="left"/>
      <w:pPr>
        <w:tabs>
          <w:tab w:val="num" w:pos="1440"/>
        </w:tabs>
        <w:ind w:left="1440" w:hanging="360"/>
      </w:pPr>
      <w:rPr>
        <w:rFonts w:ascii="Courier New" w:hAnsi="Courier New" w:cs="Courier New" w:hint="default"/>
      </w:rPr>
    </w:lvl>
    <w:lvl w:ilvl="2" w:tplc="EFECB56C" w:tentative="1">
      <w:start w:val="1"/>
      <w:numFmt w:val="bullet"/>
      <w:lvlText w:val=""/>
      <w:lvlJc w:val="left"/>
      <w:pPr>
        <w:tabs>
          <w:tab w:val="num" w:pos="2160"/>
        </w:tabs>
        <w:ind w:left="2160" w:hanging="360"/>
      </w:pPr>
      <w:rPr>
        <w:rFonts w:ascii="Wingdings" w:hAnsi="Wingdings" w:hint="default"/>
      </w:rPr>
    </w:lvl>
    <w:lvl w:ilvl="3" w:tplc="A95CB18C" w:tentative="1">
      <w:start w:val="1"/>
      <w:numFmt w:val="bullet"/>
      <w:lvlText w:val=""/>
      <w:lvlJc w:val="left"/>
      <w:pPr>
        <w:tabs>
          <w:tab w:val="num" w:pos="2880"/>
        </w:tabs>
        <w:ind w:left="2880" w:hanging="360"/>
      </w:pPr>
      <w:rPr>
        <w:rFonts w:ascii="Symbol" w:hAnsi="Symbol" w:hint="default"/>
      </w:rPr>
    </w:lvl>
    <w:lvl w:ilvl="4" w:tplc="DAFCA31E" w:tentative="1">
      <w:start w:val="1"/>
      <w:numFmt w:val="bullet"/>
      <w:lvlText w:val="o"/>
      <w:lvlJc w:val="left"/>
      <w:pPr>
        <w:tabs>
          <w:tab w:val="num" w:pos="3600"/>
        </w:tabs>
        <w:ind w:left="3600" w:hanging="360"/>
      </w:pPr>
      <w:rPr>
        <w:rFonts w:ascii="Courier New" w:hAnsi="Courier New" w:cs="Courier New" w:hint="default"/>
      </w:rPr>
    </w:lvl>
    <w:lvl w:ilvl="5" w:tplc="4BD2335A" w:tentative="1">
      <w:start w:val="1"/>
      <w:numFmt w:val="bullet"/>
      <w:lvlText w:val=""/>
      <w:lvlJc w:val="left"/>
      <w:pPr>
        <w:tabs>
          <w:tab w:val="num" w:pos="4320"/>
        </w:tabs>
        <w:ind w:left="4320" w:hanging="360"/>
      </w:pPr>
      <w:rPr>
        <w:rFonts w:ascii="Wingdings" w:hAnsi="Wingdings" w:hint="default"/>
      </w:rPr>
    </w:lvl>
    <w:lvl w:ilvl="6" w:tplc="49A255D8" w:tentative="1">
      <w:start w:val="1"/>
      <w:numFmt w:val="bullet"/>
      <w:lvlText w:val=""/>
      <w:lvlJc w:val="left"/>
      <w:pPr>
        <w:tabs>
          <w:tab w:val="num" w:pos="5040"/>
        </w:tabs>
        <w:ind w:left="5040" w:hanging="360"/>
      </w:pPr>
      <w:rPr>
        <w:rFonts w:ascii="Symbol" w:hAnsi="Symbol" w:hint="default"/>
      </w:rPr>
    </w:lvl>
    <w:lvl w:ilvl="7" w:tplc="92F67102" w:tentative="1">
      <w:start w:val="1"/>
      <w:numFmt w:val="bullet"/>
      <w:lvlText w:val="o"/>
      <w:lvlJc w:val="left"/>
      <w:pPr>
        <w:tabs>
          <w:tab w:val="num" w:pos="5760"/>
        </w:tabs>
        <w:ind w:left="5760" w:hanging="360"/>
      </w:pPr>
      <w:rPr>
        <w:rFonts w:ascii="Courier New" w:hAnsi="Courier New" w:cs="Courier New" w:hint="default"/>
      </w:rPr>
    </w:lvl>
    <w:lvl w:ilvl="8" w:tplc="B930FB9E"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AC7CF8"/>
    <w:multiLevelType w:val="hybridMultilevel"/>
    <w:tmpl w:val="0AD60F3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8394661"/>
    <w:multiLevelType w:val="hybridMultilevel"/>
    <w:tmpl w:val="58EA607E"/>
    <w:lvl w:ilvl="0" w:tplc="00F04C2E">
      <w:start w:val="1"/>
      <w:numFmt w:val="bullet"/>
      <w:lvlText w:val=""/>
      <w:lvlJc w:val="left"/>
      <w:pPr>
        <w:tabs>
          <w:tab w:val="num" w:pos="360"/>
        </w:tabs>
        <w:ind w:left="360" w:hanging="360"/>
      </w:pPr>
      <w:rPr>
        <w:rFonts w:ascii="Symbol" w:hAnsi="Symbol" w:hint="default"/>
        <w:sz w:val="16"/>
        <w:szCs w:val="16"/>
      </w:rPr>
    </w:lvl>
    <w:lvl w:ilvl="1" w:tplc="E6062DDE" w:tentative="1">
      <w:start w:val="1"/>
      <w:numFmt w:val="bullet"/>
      <w:lvlText w:val="o"/>
      <w:lvlJc w:val="left"/>
      <w:pPr>
        <w:tabs>
          <w:tab w:val="num" w:pos="1440"/>
        </w:tabs>
        <w:ind w:left="1440" w:hanging="360"/>
      </w:pPr>
      <w:rPr>
        <w:rFonts w:ascii="Courier New" w:hAnsi="Courier New" w:cs="Courier New" w:hint="default"/>
      </w:rPr>
    </w:lvl>
    <w:lvl w:ilvl="2" w:tplc="177C7004" w:tentative="1">
      <w:start w:val="1"/>
      <w:numFmt w:val="bullet"/>
      <w:lvlText w:val=""/>
      <w:lvlJc w:val="left"/>
      <w:pPr>
        <w:tabs>
          <w:tab w:val="num" w:pos="2160"/>
        </w:tabs>
        <w:ind w:left="2160" w:hanging="360"/>
      </w:pPr>
      <w:rPr>
        <w:rFonts w:ascii="Wingdings" w:hAnsi="Wingdings" w:hint="default"/>
      </w:rPr>
    </w:lvl>
    <w:lvl w:ilvl="3" w:tplc="D1C4FD40" w:tentative="1">
      <w:start w:val="1"/>
      <w:numFmt w:val="bullet"/>
      <w:lvlText w:val=""/>
      <w:lvlJc w:val="left"/>
      <w:pPr>
        <w:tabs>
          <w:tab w:val="num" w:pos="2880"/>
        </w:tabs>
        <w:ind w:left="2880" w:hanging="360"/>
      </w:pPr>
      <w:rPr>
        <w:rFonts w:ascii="Symbol" w:hAnsi="Symbol" w:hint="default"/>
      </w:rPr>
    </w:lvl>
    <w:lvl w:ilvl="4" w:tplc="2576A2B0" w:tentative="1">
      <w:start w:val="1"/>
      <w:numFmt w:val="bullet"/>
      <w:lvlText w:val="o"/>
      <w:lvlJc w:val="left"/>
      <w:pPr>
        <w:tabs>
          <w:tab w:val="num" w:pos="3600"/>
        </w:tabs>
        <w:ind w:left="3600" w:hanging="360"/>
      </w:pPr>
      <w:rPr>
        <w:rFonts w:ascii="Courier New" w:hAnsi="Courier New" w:cs="Courier New" w:hint="default"/>
      </w:rPr>
    </w:lvl>
    <w:lvl w:ilvl="5" w:tplc="AC04BDD2" w:tentative="1">
      <w:start w:val="1"/>
      <w:numFmt w:val="bullet"/>
      <w:lvlText w:val=""/>
      <w:lvlJc w:val="left"/>
      <w:pPr>
        <w:tabs>
          <w:tab w:val="num" w:pos="4320"/>
        </w:tabs>
        <w:ind w:left="4320" w:hanging="360"/>
      </w:pPr>
      <w:rPr>
        <w:rFonts w:ascii="Wingdings" w:hAnsi="Wingdings" w:hint="default"/>
      </w:rPr>
    </w:lvl>
    <w:lvl w:ilvl="6" w:tplc="D9E6F738" w:tentative="1">
      <w:start w:val="1"/>
      <w:numFmt w:val="bullet"/>
      <w:lvlText w:val=""/>
      <w:lvlJc w:val="left"/>
      <w:pPr>
        <w:tabs>
          <w:tab w:val="num" w:pos="5040"/>
        </w:tabs>
        <w:ind w:left="5040" w:hanging="360"/>
      </w:pPr>
      <w:rPr>
        <w:rFonts w:ascii="Symbol" w:hAnsi="Symbol" w:hint="default"/>
      </w:rPr>
    </w:lvl>
    <w:lvl w:ilvl="7" w:tplc="AAE6B026" w:tentative="1">
      <w:start w:val="1"/>
      <w:numFmt w:val="bullet"/>
      <w:lvlText w:val="o"/>
      <w:lvlJc w:val="left"/>
      <w:pPr>
        <w:tabs>
          <w:tab w:val="num" w:pos="5760"/>
        </w:tabs>
        <w:ind w:left="5760" w:hanging="360"/>
      </w:pPr>
      <w:rPr>
        <w:rFonts w:ascii="Courier New" w:hAnsi="Courier New" w:cs="Courier New" w:hint="default"/>
      </w:rPr>
    </w:lvl>
    <w:lvl w:ilvl="8" w:tplc="0F929EC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F17500C"/>
    <w:multiLevelType w:val="hybridMultilevel"/>
    <w:tmpl w:val="3948CA20"/>
    <w:lvl w:ilvl="0" w:tplc="292CF664">
      <w:start w:val="1"/>
      <w:numFmt w:val="bullet"/>
      <w:lvlText w:val=""/>
      <w:lvlJc w:val="left"/>
      <w:pPr>
        <w:tabs>
          <w:tab w:val="num" w:pos="360"/>
        </w:tabs>
        <w:ind w:left="360" w:hanging="360"/>
      </w:pPr>
      <w:rPr>
        <w:rFonts w:ascii="Symbol" w:hAnsi="Symbol" w:hint="default"/>
        <w:sz w:val="16"/>
        <w:szCs w:val="16"/>
      </w:rPr>
    </w:lvl>
    <w:lvl w:ilvl="1" w:tplc="0EA6586C" w:tentative="1">
      <w:start w:val="1"/>
      <w:numFmt w:val="bullet"/>
      <w:lvlText w:val="o"/>
      <w:lvlJc w:val="left"/>
      <w:pPr>
        <w:tabs>
          <w:tab w:val="num" w:pos="1440"/>
        </w:tabs>
        <w:ind w:left="1440" w:hanging="360"/>
      </w:pPr>
      <w:rPr>
        <w:rFonts w:ascii="Courier New" w:hAnsi="Courier New" w:cs="Courier New" w:hint="default"/>
      </w:rPr>
    </w:lvl>
    <w:lvl w:ilvl="2" w:tplc="C264FF6C" w:tentative="1">
      <w:start w:val="1"/>
      <w:numFmt w:val="bullet"/>
      <w:lvlText w:val=""/>
      <w:lvlJc w:val="left"/>
      <w:pPr>
        <w:tabs>
          <w:tab w:val="num" w:pos="2160"/>
        </w:tabs>
        <w:ind w:left="2160" w:hanging="360"/>
      </w:pPr>
      <w:rPr>
        <w:rFonts w:ascii="Wingdings" w:hAnsi="Wingdings" w:hint="default"/>
      </w:rPr>
    </w:lvl>
    <w:lvl w:ilvl="3" w:tplc="84B821F2" w:tentative="1">
      <w:start w:val="1"/>
      <w:numFmt w:val="bullet"/>
      <w:lvlText w:val=""/>
      <w:lvlJc w:val="left"/>
      <w:pPr>
        <w:tabs>
          <w:tab w:val="num" w:pos="2880"/>
        </w:tabs>
        <w:ind w:left="2880" w:hanging="360"/>
      </w:pPr>
      <w:rPr>
        <w:rFonts w:ascii="Symbol" w:hAnsi="Symbol" w:hint="default"/>
      </w:rPr>
    </w:lvl>
    <w:lvl w:ilvl="4" w:tplc="821617DE" w:tentative="1">
      <w:start w:val="1"/>
      <w:numFmt w:val="bullet"/>
      <w:lvlText w:val="o"/>
      <w:lvlJc w:val="left"/>
      <w:pPr>
        <w:tabs>
          <w:tab w:val="num" w:pos="3600"/>
        </w:tabs>
        <w:ind w:left="3600" w:hanging="360"/>
      </w:pPr>
      <w:rPr>
        <w:rFonts w:ascii="Courier New" w:hAnsi="Courier New" w:cs="Courier New" w:hint="default"/>
      </w:rPr>
    </w:lvl>
    <w:lvl w:ilvl="5" w:tplc="1DB40376" w:tentative="1">
      <w:start w:val="1"/>
      <w:numFmt w:val="bullet"/>
      <w:lvlText w:val=""/>
      <w:lvlJc w:val="left"/>
      <w:pPr>
        <w:tabs>
          <w:tab w:val="num" w:pos="4320"/>
        </w:tabs>
        <w:ind w:left="4320" w:hanging="360"/>
      </w:pPr>
      <w:rPr>
        <w:rFonts w:ascii="Wingdings" w:hAnsi="Wingdings" w:hint="default"/>
      </w:rPr>
    </w:lvl>
    <w:lvl w:ilvl="6" w:tplc="19785D90" w:tentative="1">
      <w:start w:val="1"/>
      <w:numFmt w:val="bullet"/>
      <w:lvlText w:val=""/>
      <w:lvlJc w:val="left"/>
      <w:pPr>
        <w:tabs>
          <w:tab w:val="num" w:pos="5040"/>
        </w:tabs>
        <w:ind w:left="5040" w:hanging="360"/>
      </w:pPr>
      <w:rPr>
        <w:rFonts w:ascii="Symbol" w:hAnsi="Symbol" w:hint="default"/>
      </w:rPr>
    </w:lvl>
    <w:lvl w:ilvl="7" w:tplc="FC222F80" w:tentative="1">
      <w:start w:val="1"/>
      <w:numFmt w:val="bullet"/>
      <w:lvlText w:val="o"/>
      <w:lvlJc w:val="left"/>
      <w:pPr>
        <w:tabs>
          <w:tab w:val="num" w:pos="5760"/>
        </w:tabs>
        <w:ind w:left="5760" w:hanging="360"/>
      </w:pPr>
      <w:rPr>
        <w:rFonts w:ascii="Courier New" w:hAnsi="Courier New" w:cs="Courier New" w:hint="default"/>
      </w:rPr>
    </w:lvl>
    <w:lvl w:ilvl="8" w:tplc="CBEA5A0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1735041"/>
    <w:multiLevelType w:val="hybridMultilevel"/>
    <w:tmpl w:val="38EAD792"/>
    <w:lvl w:ilvl="0" w:tplc="72F81928">
      <w:start w:val="1"/>
      <w:numFmt w:val="bullet"/>
      <w:lvlText w:val=""/>
      <w:lvlJc w:val="left"/>
      <w:pPr>
        <w:tabs>
          <w:tab w:val="num" w:pos="360"/>
        </w:tabs>
        <w:ind w:left="360" w:hanging="360"/>
      </w:pPr>
      <w:rPr>
        <w:rFonts w:ascii="Symbol" w:hAnsi="Symbol" w:hint="default"/>
        <w:sz w:val="16"/>
        <w:szCs w:val="16"/>
      </w:rPr>
    </w:lvl>
    <w:lvl w:ilvl="1" w:tplc="9446AB3E" w:tentative="1">
      <w:start w:val="1"/>
      <w:numFmt w:val="bullet"/>
      <w:lvlText w:val="o"/>
      <w:lvlJc w:val="left"/>
      <w:pPr>
        <w:tabs>
          <w:tab w:val="num" w:pos="1440"/>
        </w:tabs>
        <w:ind w:left="1440" w:hanging="360"/>
      </w:pPr>
      <w:rPr>
        <w:rFonts w:ascii="Courier New" w:hAnsi="Courier New" w:cs="Courier New" w:hint="default"/>
      </w:rPr>
    </w:lvl>
    <w:lvl w:ilvl="2" w:tplc="DC4006EA" w:tentative="1">
      <w:start w:val="1"/>
      <w:numFmt w:val="bullet"/>
      <w:lvlText w:val=""/>
      <w:lvlJc w:val="left"/>
      <w:pPr>
        <w:tabs>
          <w:tab w:val="num" w:pos="2160"/>
        </w:tabs>
        <w:ind w:left="2160" w:hanging="360"/>
      </w:pPr>
      <w:rPr>
        <w:rFonts w:ascii="Wingdings" w:hAnsi="Wingdings" w:hint="default"/>
      </w:rPr>
    </w:lvl>
    <w:lvl w:ilvl="3" w:tplc="935CBCE2" w:tentative="1">
      <w:start w:val="1"/>
      <w:numFmt w:val="bullet"/>
      <w:lvlText w:val=""/>
      <w:lvlJc w:val="left"/>
      <w:pPr>
        <w:tabs>
          <w:tab w:val="num" w:pos="2880"/>
        </w:tabs>
        <w:ind w:left="2880" w:hanging="360"/>
      </w:pPr>
      <w:rPr>
        <w:rFonts w:ascii="Symbol" w:hAnsi="Symbol" w:hint="default"/>
      </w:rPr>
    </w:lvl>
    <w:lvl w:ilvl="4" w:tplc="DC30B6FE" w:tentative="1">
      <w:start w:val="1"/>
      <w:numFmt w:val="bullet"/>
      <w:lvlText w:val="o"/>
      <w:lvlJc w:val="left"/>
      <w:pPr>
        <w:tabs>
          <w:tab w:val="num" w:pos="3600"/>
        </w:tabs>
        <w:ind w:left="3600" w:hanging="360"/>
      </w:pPr>
      <w:rPr>
        <w:rFonts w:ascii="Courier New" w:hAnsi="Courier New" w:cs="Courier New" w:hint="default"/>
      </w:rPr>
    </w:lvl>
    <w:lvl w:ilvl="5" w:tplc="DD92C704" w:tentative="1">
      <w:start w:val="1"/>
      <w:numFmt w:val="bullet"/>
      <w:lvlText w:val=""/>
      <w:lvlJc w:val="left"/>
      <w:pPr>
        <w:tabs>
          <w:tab w:val="num" w:pos="4320"/>
        </w:tabs>
        <w:ind w:left="4320" w:hanging="360"/>
      </w:pPr>
      <w:rPr>
        <w:rFonts w:ascii="Wingdings" w:hAnsi="Wingdings" w:hint="default"/>
      </w:rPr>
    </w:lvl>
    <w:lvl w:ilvl="6" w:tplc="888034D8" w:tentative="1">
      <w:start w:val="1"/>
      <w:numFmt w:val="bullet"/>
      <w:lvlText w:val=""/>
      <w:lvlJc w:val="left"/>
      <w:pPr>
        <w:tabs>
          <w:tab w:val="num" w:pos="5040"/>
        </w:tabs>
        <w:ind w:left="5040" w:hanging="360"/>
      </w:pPr>
      <w:rPr>
        <w:rFonts w:ascii="Symbol" w:hAnsi="Symbol" w:hint="default"/>
      </w:rPr>
    </w:lvl>
    <w:lvl w:ilvl="7" w:tplc="92540C8A" w:tentative="1">
      <w:start w:val="1"/>
      <w:numFmt w:val="bullet"/>
      <w:lvlText w:val="o"/>
      <w:lvlJc w:val="left"/>
      <w:pPr>
        <w:tabs>
          <w:tab w:val="num" w:pos="5760"/>
        </w:tabs>
        <w:ind w:left="5760" w:hanging="360"/>
      </w:pPr>
      <w:rPr>
        <w:rFonts w:ascii="Courier New" w:hAnsi="Courier New" w:cs="Courier New" w:hint="default"/>
      </w:rPr>
    </w:lvl>
    <w:lvl w:ilvl="8" w:tplc="69E87DC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38818EC"/>
    <w:multiLevelType w:val="hybridMultilevel"/>
    <w:tmpl w:val="81727534"/>
    <w:lvl w:ilvl="0" w:tplc="C4800592">
      <w:start w:val="1"/>
      <w:numFmt w:val="bullet"/>
      <w:lvlText w:val=""/>
      <w:lvlJc w:val="left"/>
      <w:pPr>
        <w:ind w:left="720" w:hanging="360"/>
      </w:pPr>
      <w:rPr>
        <w:rFonts w:ascii="Symbol" w:hAnsi="Symbol" w:hint="default"/>
        <w:sz w:val="16"/>
        <w:szCs w:val="16"/>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67B4434D"/>
    <w:multiLevelType w:val="hybridMultilevel"/>
    <w:tmpl w:val="6CA0A5BC"/>
    <w:lvl w:ilvl="0" w:tplc="405A271C">
      <w:start w:val="1"/>
      <w:numFmt w:val="bullet"/>
      <w:lvlText w:val=""/>
      <w:lvlJc w:val="left"/>
      <w:pPr>
        <w:tabs>
          <w:tab w:val="num" w:pos="360"/>
        </w:tabs>
        <w:ind w:left="360" w:hanging="360"/>
      </w:pPr>
      <w:rPr>
        <w:rFonts w:ascii="Symbol" w:hAnsi="Symbol" w:hint="default"/>
        <w:sz w:val="16"/>
        <w:szCs w:val="16"/>
      </w:rPr>
    </w:lvl>
    <w:lvl w:ilvl="1" w:tplc="DBE8E688" w:tentative="1">
      <w:start w:val="1"/>
      <w:numFmt w:val="bullet"/>
      <w:lvlText w:val="o"/>
      <w:lvlJc w:val="left"/>
      <w:pPr>
        <w:tabs>
          <w:tab w:val="num" w:pos="1440"/>
        </w:tabs>
        <w:ind w:left="1440" w:hanging="360"/>
      </w:pPr>
      <w:rPr>
        <w:rFonts w:ascii="Courier New" w:hAnsi="Courier New" w:cs="Courier New" w:hint="default"/>
      </w:rPr>
    </w:lvl>
    <w:lvl w:ilvl="2" w:tplc="77208848" w:tentative="1">
      <w:start w:val="1"/>
      <w:numFmt w:val="bullet"/>
      <w:lvlText w:val=""/>
      <w:lvlJc w:val="left"/>
      <w:pPr>
        <w:tabs>
          <w:tab w:val="num" w:pos="2160"/>
        </w:tabs>
        <w:ind w:left="2160" w:hanging="360"/>
      </w:pPr>
      <w:rPr>
        <w:rFonts w:ascii="Wingdings" w:hAnsi="Wingdings" w:hint="default"/>
      </w:rPr>
    </w:lvl>
    <w:lvl w:ilvl="3" w:tplc="C392712A" w:tentative="1">
      <w:start w:val="1"/>
      <w:numFmt w:val="bullet"/>
      <w:lvlText w:val=""/>
      <w:lvlJc w:val="left"/>
      <w:pPr>
        <w:tabs>
          <w:tab w:val="num" w:pos="2880"/>
        </w:tabs>
        <w:ind w:left="2880" w:hanging="360"/>
      </w:pPr>
      <w:rPr>
        <w:rFonts w:ascii="Symbol" w:hAnsi="Symbol" w:hint="default"/>
      </w:rPr>
    </w:lvl>
    <w:lvl w:ilvl="4" w:tplc="E34A1360" w:tentative="1">
      <w:start w:val="1"/>
      <w:numFmt w:val="bullet"/>
      <w:lvlText w:val="o"/>
      <w:lvlJc w:val="left"/>
      <w:pPr>
        <w:tabs>
          <w:tab w:val="num" w:pos="3600"/>
        </w:tabs>
        <w:ind w:left="3600" w:hanging="360"/>
      </w:pPr>
      <w:rPr>
        <w:rFonts w:ascii="Courier New" w:hAnsi="Courier New" w:cs="Courier New" w:hint="default"/>
      </w:rPr>
    </w:lvl>
    <w:lvl w:ilvl="5" w:tplc="8C008756" w:tentative="1">
      <w:start w:val="1"/>
      <w:numFmt w:val="bullet"/>
      <w:lvlText w:val=""/>
      <w:lvlJc w:val="left"/>
      <w:pPr>
        <w:tabs>
          <w:tab w:val="num" w:pos="4320"/>
        </w:tabs>
        <w:ind w:left="4320" w:hanging="360"/>
      </w:pPr>
      <w:rPr>
        <w:rFonts w:ascii="Wingdings" w:hAnsi="Wingdings" w:hint="default"/>
      </w:rPr>
    </w:lvl>
    <w:lvl w:ilvl="6" w:tplc="6AD4AC68" w:tentative="1">
      <w:start w:val="1"/>
      <w:numFmt w:val="bullet"/>
      <w:lvlText w:val=""/>
      <w:lvlJc w:val="left"/>
      <w:pPr>
        <w:tabs>
          <w:tab w:val="num" w:pos="5040"/>
        </w:tabs>
        <w:ind w:left="5040" w:hanging="360"/>
      </w:pPr>
      <w:rPr>
        <w:rFonts w:ascii="Symbol" w:hAnsi="Symbol" w:hint="default"/>
      </w:rPr>
    </w:lvl>
    <w:lvl w:ilvl="7" w:tplc="C41A9BC8" w:tentative="1">
      <w:start w:val="1"/>
      <w:numFmt w:val="bullet"/>
      <w:lvlText w:val="o"/>
      <w:lvlJc w:val="left"/>
      <w:pPr>
        <w:tabs>
          <w:tab w:val="num" w:pos="5760"/>
        </w:tabs>
        <w:ind w:left="5760" w:hanging="360"/>
      </w:pPr>
      <w:rPr>
        <w:rFonts w:ascii="Courier New" w:hAnsi="Courier New" w:cs="Courier New" w:hint="default"/>
      </w:rPr>
    </w:lvl>
    <w:lvl w:ilvl="8" w:tplc="E3329A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D954CEF"/>
    <w:multiLevelType w:val="hybridMultilevel"/>
    <w:tmpl w:val="664AB4F4"/>
    <w:lvl w:ilvl="0" w:tplc="6310D99C">
      <w:start w:val="1"/>
      <w:numFmt w:val="bullet"/>
      <w:lvlText w:val=""/>
      <w:lvlJc w:val="left"/>
      <w:pPr>
        <w:tabs>
          <w:tab w:val="num" w:pos="360"/>
        </w:tabs>
        <w:ind w:left="360" w:hanging="360"/>
      </w:pPr>
      <w:rPr>
        <w:rFonts w:ascii="Symbol" w:hAnsi="Symbol" w:hint="default"/>
        <w:sz w:val="16"/>
        <w:szCs w:val="16"/>
      </w:rPr>
    </w:lvl>
    <w:lvl w:ilvl="1" w:tplc="CE3EA2A8" w:tentative="1">
      <w:start w:val="1"/>
      <w:numFmt w:val="bullet"/>
      <w:lvlText w:val="o"/>
      <w:lvlJc w:val="left"/>
      <w:pPr>
        <w:tabs>
          <w:tab w:val="num" w:pos="1440"/>
        </w:tabs>
        <w:ind w:left="1440" w:hanging="360"/>
      </w:pPr>
      <w:rPr>
        <w:rFonts w:ascii="Courier New" w:hAnsi="Courier New" w:cs="Courier New" w:hint="default"/>
      </w:rPr>
    </w:lvl>
    <w:lvl w:ilvl="2" w:tplc="736EB2FA" w:tentative="1">
      <w:start w:val="1"/>
      <w:numFmt w:val="bullet"/>
      <w:lvlText w:val=""/>
      <w:lvlJc w:val="left"/>
      <w:pPr>
        <w:tabs>
          <w:tab w:val="num" w:pos="2160"/>
        </w:tabs>
        <w:ind w:left="2160" w:hanging="360"/>
      </w:pPr>
      <w:rPr>
        <w:rFonts w:ascii="Wingdings" w:hAnsi="Wingdings" w:hint="default"/>
      </w:rPr>
    </w:lvl>
    <w:lvl w:ilvl="3" w:tplc="A4FAB81A" w:tentative="1">
      <w:start w:val="1"/>
      <w:numFmt w:val="bullet"/>
      <w:lvlText w:val=""/>
      <w:lvlJc w:val="left"/>
      <w:pPr>
        <w:tabs>
          <w:tab w:val="num" w:pos="2880"/>
        </w:tabs>
        <w:ind w:left="2880" w:hanging="360"/>
      </w:pPr>
      <w:rPr>
        <w:rFonts w:ascii="Symbol" w:hAnsi="Symbol" w:hint="default"/>
      </w:rPr>
    </w:lvl>
    <w:lvl w:ilvl="4" w:tplc="712C2622" w:tentative="1">
      <w:start w:val="1"/>
      <w:numFmt w:val="bullet"/>
      <w:lvlText w:val="o"/>
      <w:lvlJc w:val="left"/>
      <w:pPr>
        <w:tabs>
          <w:tab w:val="num" w:pos="3600"/>
        </w:tabs>
        <w:ind w:left="3600" w:hanging="360"/>
      </w:pPr>
      <w:rPr>
        <w:rFonts w:ascii="Courier New" w:hAnsi="Courier New" w:cs="Courier New" w:hint="default"/>
      </w:rPr>
    </w:lvl>
    <w:lvl w:ilvl="5" w:tplc="596E6D1A" w:tentative="1">
      <w:start w:val="1"/>
      <w:numFmt w:val="bullet"/>
      <w:lvlText w:val=""/>
      <w:lvlJc w:val="left"/>
      <w:pPr>
        <w:tabs>
          <w:tab w:val="num" w:pos="4320"/>
        </w:tabs>
        <w:ind w:left="4320" w:hanging="360"/>
      </w:pPr>
      <w:rPr>
        <w:rFonts w:ascii="Wingdings" w:hAnsi="Wingdings" w:hint="default"/>
      </w:rPr>
    </w:lvl>
    <w:lvl w:ilvl="6" w:tplc="DEA8647A" w:tentative="1">
      <w:start w:val="1"/>
      <w:numFmt w:val="bullet"/>
      <w:lvlText w:val=""/>
      <w:lvlJc w:val="left"/>
      <w:pPr>
        <w:tabs>
          <w:tab w:val="num" w:pos="5040"/>
        </w:tabs>
        <w:ind w:left="5040" w:hanging="360"/>
      </w:pPr>
      <w:rPr>
        <w:rFonts w:ascii="Symbol" w:hAnsi="Symbol" w:hint="default"/>
      </w:rPr>
    </w:lvl>
    <w:lvl w:ilvl="7" w:tplc="1132FD2A" w:tentative="1">
      <w:start w:val="1"/>
      <w:numFmt w:val="bullet"/>
      <w:lvlText w:val="o"/>
      <w:lvlJc w:val="left"/>
      <w:pPr>
        <w:tabs>
          <w:tab w:val="num" w:pos="5760"/>
        </w:tabs>
        <w:ind w:left="5760" w:hanging="360"/>
      </w:pPr>
      <w:rPr>
        <w:rFonts w:ascii="Courier New" w:hAnsi="Courier New" w:cs="Courier New" w:hint="default"/>
      </w:rPr>
    </w:lvl>
    <w:lvl w:ilvl="8" w:tplc="E616571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82504B0"/>
    <w:multiLevelType w:val="multilevel"/>
    <w:tmpl w:val="37DC5D90"/>
    <w:lvl w:ilvl="0">
      <w:start w:val="1"/>
      <w:numFmt w:val="decimal"/>
      <w:pStyle w:val="Tabellenberschrift"/>
      <w:suff w:val="space"/>
      <w:lvlText w:val="Table %1"/>
      <w:lvlJc w:val="left"/>
      <w:pPr>
        <w:ind w:left="540" w:firstLine="0"/>
      </w:pPr>
      <w:rPr>
        <w:rFonts w:ascii="Times New Roman" w:hAnsi="Times New Roman" w:hint="default"/>
        <w:sz w:val="24"/>
        <w:szCs w:val="24"/>
      </w:rPr>
    </w:lvl>
    <w:lvl w:ilvl="1">
      <w:start w:val="1"/>
      <w:numFmt w:val="none"/>
      <w:suff w:val="nothing"/>
      <w:lvlText w:val=""/>
      <w:lvlJc w:val="left"/>
      <w:pPr>
        <w:ind w:left="540" w:firstLine="0"/>
      </w:pPr>
      <w:rPr>
        <w:rFonts w:hint="default"/>
      </w:rPr>
    </w:lvl>
    <w:lvl w:ilvl="2">
      <w:start w:val="1"/>
      <w:numFmt w:val="none"/>
      <w:suff w:val="nothing"/>
      <w:lvlText w:val=""/>
      <w:lvlJc w:val="left"/>
      <w:pPr>
        <w:ind w:left="540" w:firstLine="0"/>
      </w:pPr>
      <w:rPr>
        <w:rFonts w:hint="default"/>
      </w:rPr>
    </w:lvl>
    <w:lvl w:ilvl="3">
      <w:start w:val="1"/>
      <w:numFmt w:val="none"/>
      <w:suff w:val="nothing"/>
      <w:lvlText w:val=""/>
      <w:lvlJc w:val="left"/>
      <w:pPr>
        <w:ind w:left="540" w:firstLine="0"/>
      </w:pPr>
      <w:rPr>
        <w:rFonts w:hint="default"/>
      </w:rPr>
    </w:lvl>
    <w:lvl w:ilvl="4">
      <w:start w:val="1"/>
      <w:numFmt w:val="none"/>
      <w:suff w:val="nothing"/>
      <w:lvlText w:val=""/>
      <w:lvlJc w:val="left"/>
      <w:pPr>
        <w:ind w:left="540" w:firstLine="0"/>
      </w:pPr>
      <w:rPr>
        <w:rFonts w:hint="default"/>
      </w:rPr>
    </w:lvl>
    <w:lvl w:ilvl="5">
      <w:start w:val="1"/>
      <w:numFmt w:val="none"/>
      <w:suff w:val="nothing"/>
      <w:lvlText w:val=""/>
      <w:lvlJc w:val="left"/>
      <w:pPr>
        <w:ind w:left="540" w:firstLine="0"/>
      </w:pPr>
      <w:rPr>
        <w:rFonts w:hint="default"/>
      </w:rPr>
    </w:lvl>
    <w:lvl w:ilvl="6">
      <w:start w:val="1"/>
      <w:numFmt w:val="none"/>
      <w:suff w:val="nothing"/>
      <w:lvlText w:val=""/>
      <w:lvlJc w:val="left"/>
      <w:pPr>
        <w:ind w:left="540" w:firstLine="0"/>
      </w:pPr>
      <w:rPr>
        <w:rFonts w:hint="default"/>
      </w:rPr>
    </w:lvl>
    <w:lvl w:ilvl="7">
      <w:start w:val="1"/>
      <w:numFmt w:val="none"/>
      <w:suff w:val="nothing"/>
      <w:lvlText w:val=""/>
      <w:lvlJc w:val="left"/>
      <w:pPr>
        <w:ind w:left="540" w:firstLine="0"/>
      </w:pPr>
      <w:rPr>
        <w:rFonts w:hint="default"/>
      </w:rPr>
    </w:lvl>
    <w:lvl w:ilvl="8">
      <w:start w:val="1"/>
      <w:numFmt w:val="none"/>
      <w:suff w:val="nothing"/>
      <w:lvlText w:val=""/>
      <w:lvlJc w:val="left"/>
      <w:pPr>
        <w:ind w:left="540" w:firstLine="0"/>
      </w:pPr>
      <w:rPr>
        <w:rFonts w:hint="default"/>
      </w:rPr>
    </w:lvl>
  </w:abstractNum>
  <w:abstractNum w:abstractNumId="26" w15:restartNumberingAfterBreak="0">
    <w:nsid w:val="785C3821"/>
    <w:multiLevelType w:val="hybridMultilevel"/>
    <w:tmpl w:val="FFAC2FF0"/>
    <w:lvl w:ilvl="0" w:tplc="8196E8A6">
      <w:start w:val="1"/>
      <w:numFmt w:val="bullet"/>
      <w:lvlText w:val=""/>
      <w:lvlJc w:val="left"/>
      <w:pPr>
        <w:tabs>
          <w:tab w:val="num" w:pos="360"/>
        </w:tabs>
        <w:ind w:left="360" w:hanging="360"/>
      </w:pPr>
      <w:rPr>
        <w:rFonts w:ascii="Symbol" w:hAnsi="Symbol" w:hint="default"/>
        <w:sz w:val="16"/>
        <w:szCs w:val="16"/>
      </w:rPr>
    </w:lvl>
    <w:lvl w:ilvl="1" w:tplc="C242CEDA" w:tentative="1">
      <w:start w:val="1"/>
      <w:numFmt w:val="bullet"/>
      <w:lvlText w:val="o"/>
      <w:lvlJc w:val="left"/>
      <w:pPr>
        <w:tabs>
          <w:tab w:val="num" w:pos="1440"/>
        </w:tabs>
        <w:ind w:left="1440" w:hanging="360"/>
      </w:pPr>
      <w:rPr>
        <w:rFonts w:ascii="Courier New" w:hAnsi="Courier New" w:cs="Courier New" w:hint="default"/>
      </w:rPr>
    </w:lvl>
    <w:lvl w:ilvl="2" w:tplc="1E78219A" w:tentative="1">
      <w:start w:val="1"/>
      <w:numFmt w:val="bullet"/>
      <w:lvlText w:val=""/>
      <w:lvlJc w:val="left"/>
      <w:pPr>
        <w:tabs>
          <w:tab w:val="num" w:pos="2160"/>
        </w:tabs>
        <w:ind w:left="2160" w:hanging="360"/>
      </w:pPr>
      <w:rPr>
        <w:rFonts w:ascii="Wingdings" w:hAnsi="Wingdings" w:hint="default"/>
      </w:rPr>
    </w:lvl>
    <w:lvl w:ilvl="3" w:tplc="955A49E0" w:tentative="1">
      <w:start w:val="1"/>
      <w:numFmt w:val="bullet"/>
      <w:lvlText w:val=""/>
      <w:lvlJc w:val="left"/>
      <w:pPr>
        <w:tabs>
          <w:tab w:val="num" w:pos="2880"/>
        </w:tabs>
        <w:ind w:left="2880" w:hanging="360"/>
      </w:pPr>
      <w:rPr>
        <w:rFonts w:ascii="Symbol" w:hAnsi="Symbol" w:hint="default"/>
      </w:rPr>
    </w:lvl>
    <w:lvl w:ilvl="4" w:tplc="A70AA46C" w:tentative="1">
      <w:start w:val="1"/>
      <w:numFmt w:val="bullet"/>
      <w:lvlText w:val="o"/>
      <w:lvlJc w:val="left"/>
      <w:pPr>
        <w:tabs>
          <w:tab w:val="num" w:pos="3600"/>
        </w:tabs>
        <w:ind w:left="3600" w:hanging="360"/>
      </w:pPr>
      <w:rPr>
        <w:rFonts w:ascii="Courier New" w:hAnsi="Courier New" w:cs="Courier New" w:hint="default"/>
      </w:rPr>
    </w:lvl>
    <w:lvl w:ilvl="5" w:tplc="445265F4" w:tentative="1">
      <w:start w:val="1"/>
      <w:numFmt w:val="bullet"/>
      <w:lvlText w:val=""/>
      <w:lvlJc w:val="left"/>
      <w:pPr>
        <w:tabs>
          <w:tab w:val="num" w:pos="4320"/>
        </w:tabs>
        <w:ind w:left="4320" w:hanging="360"/>
      </w:pPr>
      <w:rPr>
        <w:rFonts w:ascii="Wingdings" w:hAnsi="Wingdings" w:hint="default"/>
      </w:rPr>
    </w:lvl>
    <w:lvl w:ilvl="6" w:tplc="B1EEAA4A" w:tentative="1">
      <w:start w:val="1"/>
      <w:numFmt w:val="bullet"/>
      <w:lvlText w:val=""/>
      <w:lvlJc w:val="left"/>
      <w:pPr>
        <w:tabs>
          <w:tab w:val="num" w:pos="5040"/>
        </w:tabs>
        <w:ind w:left="5040" w:hanging="360"/>
      </w:pPr>
      <w:rPr>
        <w:rFonts w:ascii="Symbol" w:hAnsi="Symbol" w:hint="default"/>
      </w:rPr>
    </w:lvl>
    <w:lvl w:ilvl="7" w:tplc="46221160" w:tentative="1">
      <w:start w:val="1"/>
      <w:numFmt w:val="bullet"/>
      <w:lvlText w:val="o"/>
      <w:lvlJc w:val="left"/>
      <w:pPr>
        <w:tabs>
          <w:tab w:val="num" w:pos="5760"/>
        </w:tabs>
        <w:ind w:left="5760" w:hanging="360"/>
      </w:pPr>
      <w:rPr>
        <w:rFonts w:ascii="Courier New" w:hAnsi="Courier New" w:cs="Courier New" w:hint="default"/>
      </w:rPr>
    </w:lvl>
    <w:lvl w:ilvl="8" w:tplc="018CC3F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4B7972"/>
    <w:multiLevelType w:val="hybridMultilevel"/>
    <w:tmpl w:val="AC9ED990"/>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9108E"/>
    <w:multiLevelType w:val="hybridMultilevel"/>
    <w:tmpl w:val="8DD0C778"/>
    <w:lvl w:ilvl="0" w:tplc="5AEEBC6C">
      <w:start w:val="1"/>
      <w:numFmt w:val="bullet"/>
      <w:lvlText w:val=""/>
      <w:lvlJc w:val="left"/>
      <w:pPr>
        <w:tabs>
          <w:tab w:val="num" w:pos="360"/>
        </w:tabs>
        <w:ind w:left="360" w:hanging="360"/>
      </w:pPr>
      <w:rPr>
        <w:rFonts w:ascii="Symbol" w:hAnsi="Symbol" w:hint="default"/>
        <w:sz w:val="16"/>
        <w:szCs w:val="16"/>
      </w:rPr>
    </w:lvl>
    <w:lvl w:ilvl="1" w:tplc="2BB2D654">
      <w:start w:val="1"/>
      <w:numFmt w:val="bullet"/>
      <w:lvlText w:val="o"/>
      <w:lvlJc w:val="left"/>
      <w:pPr>
        <w:tabs>
          <w:tab w:val="num" w:pos="1440"/>
        </w:tabs>
        <w:ind w:left="1440" w:hanging="360"/>
      </w:pPr>
      <w:rPr>
        <w:rFonts w:ascii="Courier New" w:hAnsi="Courier New" w:cs="Courier New" w:hint="default"/>
      </w:rPr>
    </w:lvl>
    <w:lvl w:ilvl="2" w:tplc="F7B0DFCA" w:tentative="1">
      <w:start w:val="1"/>
      <w:numFmt w:val="bullet"/>
      <w:lvlText w:val=""/>
      <w:lvlJc w:val="left"/>
      <w:pPr>
        <w:tabs>
          <w:tab w:val="num" w:pos="2160"/>
        </w:tabs>
        <w:ind w:left="2160" w:hanging="360"/>
      </w:pPr>
      <w:rPr>
        <w:rFonts w:ascii="Wingdings" w:hAnsi="Wingdings" w:hint="default"/>
      </w:rPr>
    </w:lvl>
    <w:lvl w:ilvl="3" w:tplc="07220B88" w:tentative="1">
      <w:start w:val="1"/>
      <w:numFmt w:val="bullet"/>
      <w:lvlText w:val=""/>
      <w:lvlJc w:val="left"/>
      <w:pPr>
        <w:tabs>
          <w:tab w:val="num" w:pos="2880"/>
        </w:tabs>
        <w:ind w:left="2880" w:hanging="360"/>
      </w:pPr>
      <w:rPr>
        <w:rFonts w:ascii="Symbol" w:hAnsi="Symbol" w:hint="default"/>
      </w:rPr>
    </w:lvl>
    <w:lvl w:ilvl="4" w:tplc="9E5E1672" w:tentative="1">
      <w:start w:val="1"/>
      <w:numFmt w:val="bullet"/>
      <w:lvlText w:val="o"/>
      <w:lvlJc w:val="left"/>
      <w:pPr>
        <w:tabs>
          <w:tab w:val="num" w:pos="3600"/>
        </w:tabs>
        <w:ind w:left="3600" w:hanging="360"/>
      </w:pPr>
      <w:rPr>
        <w:rFonts w:ascii="Courier New" w:hAnsi="Courier New" w:cs="Courier New" w:hint="default"/>
      </w:rPr>
    </w:lvl>
    <w:lvl w:ilvl="5" w:tplc="53B0F61C" w:tentative="1">
      <w:start w:val="1"/>
      <w:numFmt w:val="bullet"/>
      <w:lvlText w:val=""/>
      <w:lvlJc w:val="left"/>
      <w:pPr>
        <w:tabs>
          <w:tab w:val="num" w:pos="4320"/>
        </w:tabs>
        <w:ind w:left="4320" w:hanging="360"/>
      </w:pPr>
      <w:rPr>
        <w:rFonts w:ascii="Wingdings" w:hAnsi="Wingdings" w:hint="default"/>
      </w:rPr>
    </w:lvl>
    <w:lvl w:ilvl="6" w:tplc="5C7C776E" w:tentative="1">
      <w:start w:val="1"/>
      <w:numFmt w:val="bullet"/>
      <w:lvlText w:val=""/>
      <w:lvlJc w:val="left"/>
      <w:pPr>
        <w:tabs>
          <w:tab w:val="num" w:pos="5040"/>
        </w:tabs>
        <w:ind w:left="5040" w:hanging="360"/>
      </w:pPr>
      <w:rPr>
        <w:rFonts w:ascii="Symbol" w:hAnsi="Symbol" w:hint="default"/>
      </w:rPr>
    </w:lvl>
    <w:lvl w:ilvl="7" w:tplc="3FF2973A" w:tentative="1">
      <w:start w:val="1"/>
      <w:numFmt w:val="bullet"/>
      <w:lvlText w:val="o"/>
      <w:lvlJc w:val="left"/>
      <w:pPr>
        <w:tabs>
          <w:tab w:val="num" w:pos="5760"/>
        </w:tabs>
        <w:ind w:left="5760" w:hanging="360"/>
      </w:pPr>
      <w:rPr>
        <w:rFonts w:ascii="Courier New" w:hAnsi="Courier New" w:cs="Courier New" w:hint="default"/>
      </w:rPr>
    </w:lvl>
    <w:lvl w:ilvl="8" w:tplc="2946F0EE" w:tentative="1">
      <w:start w:val="1"/>
      <w:numFmt w:val="bullet"/>
      <w:lvlText w:val=""/>
      <w:lvlJc w:val="left"/>
      <w:pPr>
        <w:tabs>
          <w:tab w:val="num" w:pos="6480"/>
        </w:tabs>
        <w:ind w:left="6480" w:hanging="360"/>
      </w:pPr>
      <w:rPr>
        <w:rFonts w:ascii="Wingdings" w:hAnsi="Wingdings" w:hint="default"/>
      </w:rPr>
    </w:lvl>
  </w:abstractNum>
  <w:num w:numId="1" w16cid:durableId="1191143157">
    <w:abstractNumId w:val="11"/>
  </w:num>
  <w:num w:numId="2" w16cid:durableId="431634212">
    <w:abstractNumId w:val="16"/>
  </w:num>
  <w:num w:numId="3" w16cid:durableId="639698398">
    <w:abstractNumId w:val="8"/>
  </w:num>
  <w:num w:numId="4" w16cid:durableId="1935549507">
    <w:abstractNumId w:val="25"/>
  </w:num>
  <w:num w:numId="5" w16cid:durableId="1784574487">
    <w:abstractNumId w:val="14"/>
  </w:num>
  <w:num w:numId="6" w16cid:durableId="642319552">
    <w:abstractNumId w:val="28"/>
  </w:num>
  <w:num w:numId="7" w16cid:durableId="1104617328">
    <w:abstractNumId w:val="21"/>
  </w:num>
  <w:num w:numId="8" w16cid:durableId="346175506">
    <w:abstractNumId w:val="17"/>
  </w:num>
  <w:num w:numId="9" w16cid:durableId="1863930823">
    <w:abstractNumId w:val="23"/>
  </w:num>
  <w:num w:numId="10" w16cid:durableId="2121870757">
    <w:abstractNumId w:val="20"/>
  </w:num>
  <w:num w:numId="11" w16cid:durableId="1294674932">
    <w:abstractNumId w:val="24"/>
  </w:num>
  <w:num w:numId="12" w16cid:durableId="50036185">
    <w:abstractNumId w:val="13"/>
  </w:num>
  <w:num w:numId="13" w16cid:durableId="190841124">
    <w:abstractNumId w:val="4"/>
  </w:num>
  <w:num w:numId="14" w16cid:durableId="1592346740">
    <w:abstractNumId w:val="26"/>
  </w:num>
  <w:num w:numId="15" w16cid:durableId="911113759">
    <w:abstractNumId w:val="15"/>
  </w:num>
  <w:num w:numId="16" w16cid:durableId="314798339">
    <w:abstractNumId w:val="19"/>
  </w:num>
  <w:num w:numId="17" w16cid:durableId="1062293116">
    <w:abstractNumId w:val="5"/>
  </w:num>
  <w:num w:numId="18" w16cid:durableId="1689600064">
    <w:abstractNumId w:val="1"/>
  </w:num>
  <w:num w:numId="19" w16cid:durableId="625165259">
    <w:abstractNumId w:val="0"/>
  </w:num>
  <w:num w:numId="20" w16cid:durableId="857232824">
    <w:abstractNumId w:val="9"/>
  </w:num>
  <w:num w:numId="21" w16cid:durableId="1541818752">
    <w:abstractNumId w:val="27"/>
  </w:num>
  <w:num w:numId="22" w16cid:durableId="1731731333">
    <w:abstractNumId w:val="7"/>
  </w:num>
  <w:num w:numId="23" w16cid:durableId="1077018706">
    <w:abstractNumId w:val="6"/>
  </w:num>
  <w:num w:numId="24" w16cid:durableId="1237276586">
    <w:abstractNumId w:val="3"/>
  </w:num>
  <w:num w:numId="25" w16cid:durableId="1204250469">
    <w:abstractNumId w:val="2"/>
  </w:num>
  <w:num w:numId="26" w16cid:durableId="1881552316">
    <w:abstractNumId w:val="18"/>
  </w:num>
  <w:num w:numId="27" w16cid:durableId="254287525">
    <w:abstractNumId w:val="12"/>
  </w:num>
  <w:num w:numId="28" w16cid:durableId="1269771394">
    <w:abstractNumId w:val="10"/>
  </w:num>
  <w:num w:numId="29" w16cid:durableId="1569532856">
    <w:abstractNumId w:val="22"/>
  </w:num>
  <w:num w:numId="30" w16cid:durableId="1377464218">
    <w:abstractNumId w:val="14"/>
  </w:num>
  <w:num w:numId="31" w16cid:durableId="21385676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e-AT"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en-AU"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AU" w:vendorID="64" w:dllVersion="0" w:nlCheck="1" w:checkStyle="0"/>
  <w:activeWritingStyle w:appName="MSWord" w:lang="de-AT" w:vendorID="64" w:dllVersion="0" w:nlCheck="1" w:checkStyle="0"/>
  <w:activeWritingStyle w:appName="MSWord" w:lang="de-DE" w:vendorID="64" w:dllVersion="0" w:nlCheck="1" w:checkStyle="0"/>
  <w:proofState w:spelling="clean" w:grammar="clean"/>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471E"/>
    <w:rsid w:val="00002634"/>
    <w:rsid w:val="0000276B"/>
    <w:rsid w:val="00002FDC"/>
    <w:rsid w:val="000054E7"/>
    <w:rsid w:val="00005F88"/>
    <w:rsid w:val="0001004A"/>
    <w:rsid w:val="00011623"/>
    <w:rsid w:val="00013E38"/>
    <w:rsid w:val="000220FD"/>
    <w:rsid w:val="00025485"/>
    <w:rsid w:val="000333BB"/>
    <w:rsid w:val="00035D94"/>
    <w:rsid w:val="00036817"/>
    <w:rsid w:val="00042B78"/>
    <w:rsid w:val="00050FFA"/>
    <w:rsid w:val="000647ED"/>
    <w:rsid w:val="000668D7"/>
    <w:rsid w:val="00071C66"/>
    <w:rsid w:val="00072F39"/>
    <w:rsid w:val="00076B3C"/>
    <w:rsid w:val="00076BDA"/>
    <w:rsid w:val="00081977"/>
    <w:rsid w:val="00082315"/>
    <w:rsid w:val="00084085"/>
    <w:rsid w:val="00090086"/>
    <w:rsid w:val="00091A94"/>
    <w:rsid w:val="000A05FA"/>
    <w:rsid w:val="000A26B9"/>
    <w:rsid w:val="000A3F5E"/>
    <w:rsid w:val="000A4667"/>
    <w:rsid w:val="000A58CE"/>
    <w:rsid w:val="000B3FFF"/>
    <w:rsid w:val="000B4535"/>
    <w:rsid w:val="000B718F"/>
    <w:rsid w:val="000B74CC"/>
    <w:rsid w:val="000C3215"/>
    <w:rsid w:val="000C321F"/>
    <w:rsid w:val="000C387E"/>
    <w:rsid w:val="000C46D5"/>
    <w:rsid w:val="000C4994"/>
    <w:rsid w:val="000C62D0"/>
    <w:rsid w:val="000D7313"/>
    <w:rsid w:val="000D7F8B"/>
    <w:rsid w:val="000E4075"/>
    <w:rsid w:val="000E53B1"/>
    <w:rsid w:val="000E5A1C"/>
    <w:rsid w:val="000F3A2E"/>
    <w:rsid w:val="000F48D2"/>
    <w:rsid w:val="000F7B48"/>
    <w:rsid w:val="00110ABB"/>
    <w:rsid w:val="001157B1"/>
    <w:rsid w:val="001237B1"/>
    <w:rsid w:val="00125ED1"/>
    <w:rsid w:val="00126B86"/>
    <w:rsid w:val="0013749D"/>
    <w:rsid w:val="00137CDD"/>
    <w:rsid w:val="001416F4"/>
    <w:rsid w:val="00144ED1"/>
    <w:rsid w:val="00147B6E"/>
    <w:rsid w:val="00150393"/>
    <w:rsid w:val="0015429E"/>
    <w:rsid w:val="00155AAE"/>
    <w:rsid w:val="00170462"/>
    <w:rsid w:val="0017215E"/>
    <w:rsid w:val="0017395C"/>
    <w:rsid w:val="00180447"/>
    <w:rsid w:val="001819DA"/>
    <w:rsid w:val="001832AC"/>
    <w:rsid w:val="00183D4B"/>
    <w:rsid w:val="001847D0"/>
    <w:rsid w:val="001A44D0"/>
    <w:rsid w:val="001A5AD5"/>
    <w:rsid w:val="001B03EC"/>
    <w:rsid w:val="001B6CD7"/>
    <w:rsid w:val="001B7C66"/>
    <w:rsid w:val="001C0FAE"/>
    <w:rsid w:val="001C12BE"/>
    <w:rsid w:val="001C2498"/>
    <w:rsid w:val="001C2F6A"/>
    <w:rsid w:val="001C338F"/>
    <w:rsid w:val="001C7400"/>
    <w:rsid w:val="001D4049"/>
    <w:rsid w:val="001D7097"/>
    <w:rsid w:val="001E21AB"/>
    <w:rsid w:val="001E2E73"/>
    <w:rsid w:val="001E4A1C"/>
    <w:rsid w:val="001E4D1E"/>
    <w:rsid w:val="001E7CE0"/>
    <w:rsid w:val="001F1628"/>
    <w:rsid w:val="001F280C"/>
    <w:rsid w:val="001F494A"/>
    <w:rsid w:val="001F647C"/>
    <w:rsid w:val="001F677D"/>
    <w:rsid w:val="002017DA"/>
    <w:rsid w:val="00201FF9"/>
    <w:rsid w:val="0020208E"/>
    <w:rsid w:val="00202A4B"/>
    <w:rsid w:val="00203922"/>
    <w:rsid w:val="002051D4"/>
    <w:rsid w:val="00205A76"/>
    <w:rsid w:val="0020769E"/>
    <w:rsid w:val="00207872"/>
    <w:rsid w:val="002135B0"/>
    <w:rsid w:val="002142C5"/>
    <w:rsid w:val="002160FF"/>
    <w:rsid w:val="0022155E"/>
    <w:rsid w:val="00224F20"/>
    <w:rsid w:val="00226053"/>
    <w:rsid w:val="002303A0"/>
    <w:rsid w:val="00235555"/>
    <w:rsid w:val="0024046C"/>
    <w:rsid w:val="002421DA"/>
    <w:rsid w:val="00242C35"/>
    <w:rsid w:val="002437BE"/>
    <w:rsid w:val="00245E49"/>
    <w:rsid w:val="00261EE6"/>
    <w:rsid w:val="00264F9A"/>
    <w:rsid w:val="00266335"/>
    <w:rsid w:val="00266B33"/>
    <w:rsid w:val="00272024"/>
    <w:rsid w:val="0028292D"/>
    <w:rsid w:val="0029155D"/>
    <w:rsid w:val="00291ED0"/>
    <w:rsid w:val="00293ADB"/>
    <w:rsid w:val="00294140"/>
    <w:rsid w:val="00295D45"/>
    <w:rsid w:val="002962C2"/>
    <w:rsid w:val="002A27EC"/>
    <w:rsid w:val="002A54C7"/>
    <w:rsid w:val="002A7791"/>
    <w:rsid w:val="002B3078"/>
    <w:rsid w:val="002C38C4"/>
    <w:rsid w:val="002D4676"/>
    <w:rsid w:val="002D74B0"/>
    <w:rsid w:val="002E52E0"/>
    <w:rsid w:val="002E5516"/>
    <w:rsid w:val="002E784C"/>
    <w:rsid w:val="002F3B29"/>
    <w:rsid w:val="002F5BCE"/>
    <w:rsid w:val="003006D8"/>
    <w:rsid w:val="003008C9"/>
    <w:rsid w:val="00303BAD"/>
    <w:rsid w:val="00307FDE"/>
    <w:rsid w:val="00323507"/>
    <w:rsid w:val="00323AE7"/>
    <w:rsid w:val="00330F42"/>
    <w:rsid w:val="00332D0A"/>
    <w:rsid w:val="003350E1"/>
    <w:rsid w:val="00341A3E"/>
    <w:rsid w:val="00343DD5"/>
    <w:rsid w:val="003447D6"/>
    <w:rsid w:val="00350E93"/>
    <w:rsid w:val="00351E5B"/>
    <w:rsid w:val="00361A1D"/>
    <w:rsid w:val="00363A81"/>
    <w:rsid w:val="00364402"/>
    <w:rsid w:val="00365558"/>
    <w:rsid w:val="00370E2F"/>
    <w:rsid w:val="00374F16"/>
    <w:rsid w:val="003844CB"/>
    <w:rsid w:val="00387E08"/>
    <w:rsid w:val="003939B2"/>
    <w:rsid w:val="003949EF"/>
    <w:rsid w:val="003A6439"/>
    <w:rsid w:val="003B01EE"/>
    <w:rsid w:val="003C0242"/>
    <w:rsid w:val="003C26E9"/>
    <w:rsid w:val="003C5DD8"/>
    <w:rsid w:val="003D20ED"/>
    <w:rsid w:val="003D298D"/>
    <w:rsid w:val="003D3B75"/>
    <w:rsid w:val="003E10E2"/>
    <w:rsid w:val="003E27FF"/>
    <w:rsid w:val="00400886"/>
    <w:rsid w:val="00402830"/>
    <w:rsid w:val="00405F15"/>
    <w:rsid w:val="0042301B"/>
    <w:rsid w:val="004262E2"/>
    <w:rsid w:val="00427CA0"/>
    <w:rsid w:val="00434F4B"/>
    <w:rsid w:val="00435057"/>
    <w:rsid w:val="00443F48"/>
    <w:rsid w:val="00444445"/>
    <w:rsid w:val="00444ACD"/>
    <w:rsid w:val="004452FF"/>
    <w:rsid w:val="004459A1"/>
    <w:rsid w:val="00447CDF"/>
    <w:rsid w:val="00450AD2"/>
    <w:rsid w:val="004564F2"/>
    <w:rsid w:val="00461117"/>
    <w:rsid w:val="00461C55"/>
    <w:rsid w:val="00462135"/>
    <w:rsid w:val="004651F3"/>
    <w:rsid w:val="00472180"/>
    <w:rsid w:val="00472EAA"/>
    <w:rsid w:val="00476536"/>
    <w:rsid w:val="00476C02"/>
    <w:rsid w:val="00477473"/>
    <w:rsid w:val="0048073F"/>
    <w:rsid w:val="00482DEA"/>
    <w:rsid w:val="00490F63"/>
    <w:rsid w:val="004912F4"/>
    <w:rsid w:val="00491434"/>
    <w:rsid w:val="004925B4"/>
    <w:rsid w:val="00493770"/>
    <w:rsid w:val="004A300F"/>
    <w:rsid w:val="004B07B3"/>
    <w:rsid w:val="004B625A"/>
    <w:rsid w:val="004C321F"/>
    <w:rsid w:val="004C42D4"/>
    <w:rsid w:val="004C5A79"/>
    <w:rsid w:val="004C5DD4"/>
    <w:rsid w:val="004D5644"/>
    <w:rsid w:val="004E5484"/>
    <w:rsid w:val="004E6073"/>
    <w:rsid w:val="004F250D"/>
    <w:rsid w:val="004F668F"/>
    <w:rsid w:val="005021BE"/>
    <w:rsid w:val="00502C2C"/>
    <w:rsid w:val="00503C00"/>
    <w:rsid w:val="00503F25"/>
    <w:rsid w:val="00513823"/>
    <w:rsid w:val="00513B10"/>
    <w:rsid w:val="00513BDA"/>
    <w:rsid w:val="00514EB9"/>
    <w:rsid w:val="00514F84"/>
    <w:rsid w:val="00517F21"/>
    <w:rsid w:val="00521860"/>
    <w:rsid w:val="00521F66"/>
    <w:rsid w:val="00522BE9"/>
    <w:rsid w:val="005250D5"/>
    <w:rsid w:val="0053498B"/>
    <w:rsid w:val="00537F6A"/>
    <w:rsid w:val="0054196B"/>
    <w:rsid w:val="005429BD"/>
    <w:rsid w:val="00543655"/>
    <w:rsid w:val="00544144"/>
    <w:rsid w:val="00556049"/>
    <w:rsid w:val="00556574"/>
    <w:rsid w:val="00563084"/>
    <w:rsid w:val="005747A0"/>
    <w:rsid w:val="00574A9B"/>
    <w:rsid w:val="005818E5"/>
    <w:rsid w:val="00582AFF"/>
    <w:rsid w:val="005871FF"/>
    <w:rsid w:val="0059091C"/>
    <w:rsid w:val="00591941"/>
    <w:rsid w:val="00594A28"/>
    <w:rsid w:val="005A07BB"/>
    <w:rsid w:val="005A07DB"/>
    <w:rsid w:val="005A2379"/>
    <w:rsid w:val="005A3E8C"/>
    <w:rsid w:val="005A44F0"/>
    <w:rsid w:val="005A6D27"/>
    <w:rsid w:val="005B353C"/>
    <w:rsid w:val="005B3756"/>
    <w:rsid w:val="005C19D1"/>
    <w:rsid w:val="005C1C0C"/>
    <w:rsid w:val="005D6F6B"/>
    <w:rsid w:val="005E0313"/>
    <w:rsid w:val="005E7EC9"/>
    <w:rsid w:val="005F0ABF"/>
    <w:rsid w:val="005F0C4A"/>
    <w:rsid w:val="005F3D1E"/>
    <w:rsid w:val="005F65E6"/>
    <w:rsid w:val="005F74B7"/>
    <w:rsid w:val="00602DB4"/>
    <w:rsid w:val="006118C3"/>
    <w:rsid w:val="00612B32"/>
    <w:rsid w:val="00612E79"/>
    <w:rsid w:val="006204CB"/>
    <w:rsid w:val="00626A2E"/>
    <w:rsid w:val="00626B77"/>
    <w:rsid w:val="0063206D"/>
    <w:rsid w:val="00633A8C"/>
    <w:rsid w:val="0063523B"/>
    <w:rsid w:val="00642758"/>
    <w:rsid w:val="0064339F"/>
    <w:rsid w:val="0064638D"/>
    <w:rsid w:val="00646A6D"/>
    <w:rsid w:val="00655B8A"/>
    <w:rsid w:val="00662DC1"/>
    <w:rsid w:val="00666DEE"/>
    <w:rsid w:val="00671A9F"/>
    <w:rsid w:val="00682506"/>
    <w:rsid w:val="006A07E3"/>
    <w:rsid w:val="006A231A"/>
    <w:rsid w:val="006A397D"/>
    <w:rsid w:val="006A6049"/>
    <w:rsid w:val="006A67A8"/>
    <w:rsid w:val="006B1FDB"/>
    <w:rsid w:val="006C43E3"/>
    <w:rsid w:val="006C52A8"/>
    <w:rsid w:val="006C77C4"/>
    <w:rsid w:val="006D3C0F"/>
    <w:rsid w:val="006D7333"/>
    <w:rsid w:val="006D73C1"/>
    <w:rsid w:val="006E168D"/>
    <w:rsid w:val="006E773D"/>
    <w:rsid w:val="006F2E6A"/>
    <w:rsid w:val="006F6050"/>
    <w:rsid w:val="00703D64"/>
    <w:rsid w:val="00704CCD"/>
    <w:rsid w:val="007101B5"/>
    <w:rsid w:val="0071107D"/>
    <w:rsid w:val="00711335"/>
    <w:rsid w:val="00711F2C"/>
    <w:rsid w:val="007144ED"/>
    <w:rsid w:val="007145AC"/>
    <w:rsid w:val="007202E9"/>
    <w:rsid w:val="007210D0"/>
    <w:rsid w:val="0072700F"/>
    <w:rsid w:val="00733447"/>
    <w:rsid w:val="00733AC1"/>
    <w:rsid w:val="00747406"/>
    <w:rsid w:val="00751141"/>
    <w:rsid w:val="007579FD"/>
    <w:rsid w:val="00757D37"/>
    <w:rsid w:val="00761832"/>
    <w:rsid w:val="00763691"/>
    <w:rsid w:val="00764C6B"/>
    <w:rsid w:val="00766F9E"/>
    <w:rsid w:val="00776721"/>
    <w:rsid w:val="00782C35"/>
    <w:rsid w:val="00784426"/>
    <w:rsid w:val="00785673"/>
    <w:rsid w:val="007866CF"/>
    <w:rsid w:val="007928D0"/>
    <w:rsid w:val="0079341E"/>
    <w:rsid w:val="007955E4"/>
    <w:rsid w:val="00795631"/>
    <w:rsid w:val="007A0DE0"/>
    <w:rsid w:val="007A2B1D"/>
    <w:rsid w:val="007A7CB8"/>
    <w:rsid w:val="007A7D1F"/>
    <w:rsid w:val="007B4491"/>
    <w:rsid w:val="007B4CA7"/>
    <w:rsid w:val="007B729F"/>
    <w:rsid w:val="007B7F94"/>
    <w:rsid w:val="007C5142"/>
    <w:rsid w:val="007C5EF4"/>
    <w:rsid w:val="007D0136"/>
    <w:rsid w:val="007D4891"/>
    <w:rsid w:val="007D580F"/>
    <w:rsid w:val="007D68CD"/>
    <w:rsid w:val="007E05FB"/>
    <w:rsid w:val="007E0CD0"/>
    <w:rsid w:val="007E1115"/>
    <w:rsid w:val="007E35DC"/>
    <w:rsid w:val="007E5D11"/>
    <w:rsid w:val="007E7F9C"/>
    <w:rsid w:val="007F5209"/>
    <w:rsid w:val="008070CD"/>
    <w:rsid w:val="00810968"/>
    <w:rsid w:val="008116A6"/>
    <w:rsid w:val="00812CAC"/>
    <w:rsid w:val="00821930"/>
    <w:rsid w:val="008268E3"/>
    <w:rsid w:val="00830832"/>
    <w:rsid w:val="00835C1E"/>
    <w:rsid w:val="00841556"/>
    <w:rsid w:val="00847623"/>
    <w:rsid w:val="008525A5"/>
    <w:rsid w:val="008530F1"/>
    <w:rsid w:val="00854940"/>
    <w:rsid w:val="00870D15"/>
    <w:rsid w:val="00877A92"/>
    <w:rsid w:val="008827B8"/>
    <w:rsid w:val="00887008"/>
    <w:rsid w:val="00896C1F"/>
    <w:rsid w:val="008A164F"/>
    <w:rsid w:val="008A2429"/>
    <w:rsid w:val="008A29FE"/>
    <w:rsid w:val="008A51F3"/>
    <w:rsid w:val="008A51FD"/>
    <w:rsid w:val="008B182A"/>
    <w:rsid w:val="008B79E3"/>
    <w:rsid w:val="008C25EA"/>
    <w:rsid w:val="008C665B"/>
    <w:rsid w:val="008E7527"/>
    <w:rsid w:val="008F2190"/>
    <w:rsid w:val="008F5EB6"/>
    <w:rsid w:val="0090027D"/>
    <w:rsid w:val="00906B2D"/>
    <w:rsid w:val="00910B2C"/>
    <w:rsid w:val="0091406A"/>
    <w:rsid w:val="009178ED"/>
    <w:rsid w:val="00924FC9"/>
    <w:rsid w:val="00933D95"/>
    <w:rsid w:val="009346A6"/>
    <w:rsid w:val="00937983"/>
    <w:rsid w:val="00937FA5"/>
    <w:rsid w:val="009458B3"/>
    <w:rsid w:val="00951987"/>
    <w:rsid w:val="00951F69"/>
    <w:rsid w:val="009578A8"/>
    <w:rsid w:val="00957EBD"/>
    <w:rsid w:val="0096307C"/>
    <w:rsid w:val="009670F2"/>
    <w:rsid w:val="00972970"/>
    <w:rsid w:val="00975537"/>
    <w:rsid w:val="00975C8C"/>
    <w:rsid w:val="00976068"/>
    <w:rsid w:val="00982351"/>
    <w:rsid w:val="00984035"/>
    <w:rsid w:val="00997EC1"/>
    <w:rsid w:val="009A2072"/>
    <w:rsid w:val="009A4224"/>
    <w:rsid w:val="009A7780"/>
    <w:rsid w:val="009D07F9"/>
    <w:rsid w:val="009E01AE"/>
    <w:rsid w:val="009E0384"/>
    <w:rsid w:val="009E34EE"/>
    <w:rsid w:val="009F18C3"/>
    <w:rsid w:val="009F2735"/>
    <w:rsid w:val="009F4788"/>
    <w:rsid w:val="00A03F6A"/>
    <w:rsid w:val="00A067C5"/>
    <w:rsid w:val="00A0755D"/>
    <w:rsid w:val="00A07726"/>
    <w:rsid w:val="00A07C41"/>
    <w:rsid w:val="00A10CD1"/>
    <w:rsid w:val="00A130D2"/>
    <w:rsid w:val="00A2406E"/>
    <w:rsid w:val="00A24695"/>
    <w:rsid w:val="00A30FF6"/>
    <w:rsid w:val="00A41356"/>
    <w:rsid w:val="00A41A78"/>
    <w:rsid w:val="00A41B38"/>
    <w:rsid w:val="00A42B2F"/>
    <w:rsid w:val="00A43B5F"/>
    <w:rsid w:val="00A45B68"/>
    <w:rsid w:val="00A52DF4"/>
    <w:rsid w:val="00A550E4"/>
    <w:rsid w:val="00A56201"/>
    <w:rsid w:val="00A6310C"/>
    <w:rsid w:val="00A65C96"/>
    <w:rsid w:val="00A65FF5"/>
    <w:rsid w:val="00A67533"/>
    <w:rsid w:val="00A75383"/>
    <w:rsid w:val="00A82761"/>
    <w:rsid w:val="00A94E11"/>
    <w:rsid w:val="00AA05F3"/>
    <w:rsid w:val="00AA2DEE"/>
    <w:rsid w:val="00AA409C"/>
    <w:rsid w:val="00AB69C7"/>
    <w:rsid w:val="00AC0D25"/>
    <w:rsid w:val="00AC2481"/>
    <w:rsid w:val="00AC3FBD"/>
    <w:rsid w:val="00AC59DE"/>
    <w:rsid w:val="00AD07A9"/>
    <w:rsid w:val="00AD0C3F"/>
    <w:rsid w:val="00AD0FC9"/>
    <w:rsid w:val="00AD2620"/>
    <w:rsid w:val="00AD36D2"/>
    <w:rsid w:val="00AE1D36"/>
    <w:rsid w:val="00AF4ABF"/>
    <w:rsid w:val="00B066F9"/>
    <w:rsid w:val="00B10BA7"/>
    <w:rsid w:val="00B11C1D"/>
    <w:rsid w:val="00B3047A"/>
    <w:rsid w:val="00B33351"/>
    <w:rsid w:val="00B347D7"/>
    <w:rsid w:val="00B36794"/>
    <w:rsid w:val="00B43D1A"/>
    <w:rsid w:val="00B464B8"/>
    <w:rsid w:val="00B50CA8"/>
    <w:rsid w:val="00B57066"/>
    <w:rsid w:val="00B6628E"/>
    <w:rsid w:val="00B7007C"/>
    <w:rsid w:val="00B73E91"/>
    <w:rsid w:val="00B7445D"/>
    <w:rsid w:val="00B74E1A"/>
    <w:rsid w:val="00B762E1"/>
    <w:rsid w:val="00B826B2"/>
    <w:rsid w:val="00B8350A"/>
    <w:rsid w:val="00B86A7C"/>
    <w:rsid w:val="00B9031A"/>
    <w:rsid w:val="00B90C53"/>
    <w:rsid w:val="00B942BE"/>
    <w:rsid w:val="00B97D68"/>
    <w:rsid w:val="00BA71B8"/>
    <w:rsid w:val="00BB36FB"/>
    <w:rsid w:val="00BB3ABF"/>
    <w:rsid w:val="00BB77E7"/>
    <w:rsid w:val="00BC3C84"/>
    <w:rsid w:val="00BD09CC"/>
    <w:rsid w:val="00BD2920"/>
    <w:rsid w:val="00BD471E"/>
    <w:rsid w:val="00BD773D"/>
    <w:rsid w:val="00C0033A"/>
    <w:rsid w:val="00C11AAC"/>
    <w:rsid w:val="00C13F11"/>
    <w:rsid w:val="00C235BA"/>
    <w:rsid w:val="00C252BA"/>
    <w:rsid w:val="00C2758C"/>
    <w:rsid w:val="00C34F02"/>
    <w:rsid w:val="00C467F3"/>
    <w:rsid w:val="00C50321"/>
    <w:rsid w:val="00C5105E"/>
    <w:rsid w:val="00C5720F"/>
    <w:rsid w:val="00C742DA"/>
    <w:rsid w:val="00C749D5"/>
    <w:rsid w:val="00C80CC7"/>
    <w:rsid w:val="00C80D05"/>
    <w:rsid w:val="00C85870"/>
    <w:rsid w:val="00C85C58"/>
    <w:rsid w:val="00C868AA"/>
    <w:rsid w:val="00C87640"/>
    <w:rsid w:val="00C93845"/>
    <w:rsid w:val="00C966D1"/>
    <w:rsid w:val="00C97DBD"/>
    <w:rsid w:val="00CA428C"/>
    <w:rsid w:val="00CB2F54"/>
    <w:rsid w:val="00CB6798"/>
    <w:rsid w:val="00CC1AC2"/>
    <w:rsid w:val="00CC1C68"/>
    <w:rsid w:val="00CC5A26"/>
    <w:rsid w:val="00CD2982"/>
    <w:rsid w:val="00CD2DAE"/>
    <w:rsid w:val="00CD7228"/>
    <w:rsid w:val="00CE1C42"/>
    <w:rsid w:val="00CE4F5F"/>
    <w:rsid w:val="00CF241C"/>
    <w:rsid w:val="00CF6431"/>
    <w:rsid w:val="00D00F28"/>
    <w:rsid w:val="00D040F8"/>
    <w:rsid w:val="00D053AB"/>
    <w:rsid w:val="00D067F6"/>
    <w:rsid w:val="00D21892"/>
    <w:rsid w:val="00D21DA0"/>
    <w:rsid w:val="00D2313B"/>
    <w:rsid w:val="00D26B1F"/>
    <w:rsid w:val="00D30304"/>
    <w:rsid w:val="00D349A1"/>
    <w:rsid w:val="00D34CA3"/>
    <w:rsid w:val="00D4055E"/>
    <w:rsid w:val="00D43D8A"/>
    <w:rsid w:val="00D45153"/>
    <w:rsid w:val="00D47151"/>
    <w:rsid w:val="00D51C37"/>
    <w:rsid w:val="00D520CA"/>
    <w:rsid w:val="00D55A34"/>
    <w:rsid w:val="00D607F2"/>
    <w:rsid w:val="00D60F91"/>
    <w:rsid w:val="00D65868"/>
    <w:rsid w:val="00D72952"/>
    <w:rsid w:val="00D83820"/>
    <w:rsid w:val="00D85552"/>
    <w:rsid w:val="00D90AFE"/>
    <w:rsid w:val="00D90FE5"/>
    <w:rsid w:val="00D91930"/>
    <w:rsid w:val="00D942ED"/>
    <w:rsid w:val="00DA5996"/>
    <w:rsid w:val="00DA5BAD"/>
    <w:rsid w:val="00DB1893"/>
    <w:rsid w:val="00DB5D79"/>
    <w:rsid w:val="00DC3737"/>
    <w:rsid w:val="00DC53B2"/>
    <w:rsid w:val="00DC624A"/>
    <w:rsid w:val="00DD518F"/>
    <w:rsid w:val="00DD6222"/>
    <w:rsid w:val="00DD62D1"/>
    <w:rsid w:val="00DE4202"/>
    <w:rsid w:val="00DE62DE"/>
    <w:rsid w:val="00DF1546"/>
    <w:rsid w:val="00DF1C2F"/>
    <w:rsid w:val="00E02ED1"/>
    <w:rsid w:val="00E104FF"/>
    <w:rsid w:val="00E21CE2"/>
    <w:rsid w:val="00E23E3B"/>
    <w:rsid w:val="00E25212"/>
    <w:rsid w:val="00E260E0"/>
    <w:rsid w:val="00E3304F"/>
    <w:rsid w:val="00E44BC0"/>
    <w:rsid w:val="00E51309"/>
    <w:rsid w:val="00E54DFA"/>
    <w:rsid w:val="00E57AA6"/>
    <w:rsid w:val="00E61FB8"/>
    <w:rsid w:val="00E675B0"/>
    <w:rsid w:val="00E67604"/>
    <w:rsid w:val="00E70BB8"/>
    <w:rsid w:val="00E73DE1"/>
    <w:rsid w:val="00E73EEF"/>
    <w:rsid w:val="00E7408C"/>
    <w:rsid w:val="00E74597"/>
    <w:rsid w:val="00E8022B"/>
    <w:rsid w:val="00E82C4A"/>
    <w:rsid w:val="00E8387A"/>
    <w:rsid w:val="00E85470"/>
    <w:rsid w:val="00E86752"/>
    <w:rsid w:val="00E86759"/>
    <w:rsid w:val="00E969F6"/>
    <w:rsid w:val="00EA2A38"/>
    <w:rsid w:val="00EA3256"/>
    <w:rsid w:val="00EA3CA7"/>
    <w:rsid w:val="00EA3E06"/>
    <w:rsid w:val="00EA5DF0"/>
    <w:rsid w:val="00EB27B9"/>
    <w:rsid w:val="00EB3203"/>
    <w:rsid w:val="00EB4F01"/>
    <w:rsid w:val="00EB6ABF"/>
    <w:rsid w:val="00EC1884"/>
    <w:rsid w:val="00EC636D"/>
    <w:rsid w:val="00ED4471"/>
    <w:rsid w:val="00EE3B1C"/>
    <w:rsid w:val="00EE46A3"/>
    <w:rsid w:val="00EF34A9"/>
    <w:rsid w:val="00EF62F0"/>
    <w:rsid w:val="00EF7EE3"/>
    <w:rsid w:val="00F0202B"/>
    <w:rsid w:val="00F04069"/>
    <w:rsid w:val="00F126C3"/>
    <w:rsid w:val="00F142E0"/>
    <w:rsid w:val="00F1684B"/>
    <w:rsid w:val="00F22F7C"/>
    <w:rsid w:val="00F23A12"/>
    <w:rsid w:val="00F34A33"/>
    <w:rsid w:val="00F37FBC"/>
    <w:rsid w:val="00F41514"/>
    <w:rsid w:val="00F52355"/>
    <w:rsid w:val="00F61247"/>
    <w:rsid w:val="00F620D8"/>
    <w:rsid w:val="00F631CB"/>
    <w:rsid w:val="00F70B95"/>
    <w:rsid w:val="00F747A1"/>
    <w:rsid w:val="00F802B7"/>
    <w:rsid w:val="00F8054C"/>
    <w:rsid w:val="00F8404F"/>
    <w:rsid w:val="00F8555F"/>
    <w:rsid w:val="00F86FF0"/>
    <w:rsid w:val="00F90C83"/>
    <w:rsid w:val="00F91455"/>
    <w:rsid w:val="00F9797A"/>
    <w:rsid w:val="00FA0E2B"/>
    <w:rsid w:val="00FA467A"/>
    <w:rsid w:val="00FA5637"/>
    <w:rsid w:val="00FB7114"/>
    <w:rsid w:val="00FB7C1A"/>
    <w:rsid w:val="00FC4F73"/>
    <w:rsid w:val="00FD030D"/>
    <w:rsid w:val="00FD11AC"/>
    <w:rsid w:val="00FD21E1"/>
    <w:rsid w:val="00FD618A"/>
    <w:rsid w:val="00FE6858"/>
    <w:rsid w:val="00FE73D2"/>
    <w:rsid w:val="00FF0565"/>
    <w:rsid w:val="00FF22A7"/>
    <w:rsid w:val="00FF56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6C4E0"/>
  <w15:chartTrackingRefBased/>
  <w15:docId w15:val="{56443622-A64D-496A-A94D-963F8DA6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1BE"/>
    <w:rPr>
      <w:color w:val="000000"/>
      <w:sz w:val="24"/>
      <w:lang w:val="en-GB" w:eastAsia="en-US"/>
    </w:rPr>
  </w:style>
  <w:style w:type="paragraph" w:styleId="Heading1">
    <w:name w:val="heading 1"/>
    <w:basedOn w:val="Normal"/>
    <w:next w:val="Text"/>
    <w:qFormat/>
    <w:rsid w:val="005021BE"/>
    <w:pPr>
      <w:keepNext/>
      <w:numPr>
        <w:numId w:val="5"/>
      </w:numPr>
      <w:tabs>
        <w:tab w:val="left" w:pos="1871"/>
      </w:tabs>
      <w:spacing w:before="240" w:after="120"/>
      <w:outlineLvl w:val="0"/>
    </w:pPr>
    <w:rPr>
      <w:rFonts w:cs="Arial"/>
      <w:b/>
      <w:bCs/>
      <w:caps/>
      <w:kern w:val="32"/>
      <w:sz w:val="26"/>
      <w:szCs w:val="32"/>
      <w:u w:val="single"/>
    </w:rPr>
  </w:style>
  <w:style w:type="paragraph" w:styleId="Heading2">
    <w:name w:val="heading 2"/>
    <w:basedOn w:val="Normal"/>
    <w:next w:val="Text"/>
    <w:qFormat/>
    <w:rsid w:val="005021BE"/>
    <w:pPr>
      <w:keepNext/>
      <w:numPr>
        <w:ilvl w:val="1"/>
        <w:numId w:val="5"/>
      </w:numPr>
      <w:tabs>
        <w:tab w:val="left" w:pos="720"/>
      </w:tabs>
      <w:spacing w:before="240" w:after="120"/>
      <w:outlineLvl w:val="1"/>
    </w:pPr>
    <w:rPr>
      <w:rFonts w:cs="Arial"/>
      <w:b/>
      <w:bCs/>
      <w:iCs/>
      <w:sz w:val="26"/>
      <w:szCs w:val="26"/>
      <w:u w:val="single"/>
    </w:rPr>
  </w:style>
  <w:style w:type="paragraph" w:styleId="Heading3">
    <w:name w:val="heading 3"/>
    <w:basedOn w:val="Normal"/>
    <w:next w:val="Text"/>
    <w:qFormat/>
    <w:rsid w:val="005021BE"/>
    <w:pPr>
      <w:keepNext/>
      <w:numPr>
        <w:ilvl w:val="2"/>
        <w:numId w:val="5"/>
      </w:numPr>
      <w:tabs>
        <w:tab w:val="left" w:pos="680"/>
      </w:tabs>
      <w:spacing w:before="240" w:after="120"/>
      <w:outlineLvl w:val="2"/>
    </w:pPr>
    <w:rPr>
      <w:rFonts w:cs="Arial"/>
      <w:b/>
      <w:bCs/>
      <w:i/>
      <w:sz w:val="26"/>
      <w:szCs w:val="26"/>
      <w:u w:val="single"/>
    </w:rPr>
  </w:style>
  <w:style w:type="paragraph" w:styleId="Heading4">
    <w:name w:val="heading 4"/>
    <w:basedOn w:val="Normal"/>
    <w:next w:val="Text"/>
    <w:qFormat/>
    <w:rsid w:val="005021BE"/>
    <w:pPr>
      <w:keepNext/>
      <w:numPr>
        <w:ilvl w:val="3"/>
        <w:numId w:val="5"/>
      </w:numPr>
      <w:tabs>
        <w:tab w:val="left" w:pos="851"/>
      </w:tabs>
      <w:spacing w:before="240" w:after="120"/>
      <w:outlineLvl w:val="3"/>
    </w:pPr>
    <w:rPr>
      <w:b/>
      <w:bCs/>
      <w:sz w:val="26"/>
      <w:szCs w:val="26"/>
    </w:rPr>
  </w:style>
  <w:style w:type="paragraph" w:styleId="Heading5">
    <w:name w:val="heading 5"/>
    <w:basedOn w:val="Normal"/>
    <w:next w:val="Text"/>
    <w:qFormat/>
    <w:rsid w:val="005021BE"/>
    <w:pPr>
      <w:keepNext/>
      <w:numPr>
        <w:ilvl w:val="4"/>
        <w:numId w:val="5"/>
      </w:numPr>
      <w:tabs>
        <w:tab w:val="left" w:pos="1134"/>
      </w:tabs>
      <w:spacing w:before="240" w:after="120"/>
      <w:outlineLvl w:val="4"/>
    </w:pPr>
    <w:rPr>
      <w:bCs/>
      <w:iCs/>
      <w:szCs w:val="26"/>
      <w:u w:val="single"/>
    </w:rPr>
  </w:style>
  <w:style w:type="paragraph" w:styleId="Heading6">
    <w:name w:val="heading 6"/>
    <w:basedOn w:val="Normal"/>
    <w:next w:val="Text"/>
    <w:autoRedefine/>
    <w:qFormat/>
    <w:rsid w:val="005021BE"/>
    <w:pPr>
      <w:keepNext/>
      <w:numPr>
        <w:ilvl w:val="5"/>
        <w:numId w:val="5"/>
      </w:numPr>
      <w:tabs>
        <w:tab w:val="left" w:pos="1247"/>
      </w:tabs>
      <w:spacing w:before="240" w:after="120"/>
      <w:outlineLvl w:val="5"/>
    </w:pPr>
    <w:rPr>
      <w:b/>
      <w:bCs/>
      <w:i/>
      <w:sz w:val="26"/>
      <w:szCs w:val="22"/>
      <w:u w:val="single"/>
    </w:rPr>
  </w:style>
  <w:style w:type="paragraph" w:styleId="Heading7">
    <w:name w:val="heading 7"/>
    <w:basedOn w:val="Normal"/>
    <w:next w:val="Text"/>
    <w:autoRedefine/>
    <w:qFormat/>
    <w:rsid w:val="005021BE"/>
    <w:pPr>
      <w:numPr>
        <w:ilvl w:val="6"/>
        <w:numId w:val="5"/>
      </w:numPr>
      <w:tabs>
        <w:tab w:val="left" w:pos="1418"/>
      </w:tabs>
      <w:spacing w:before="240" w:after="120"/>
      <w:outlineLvl w:val="6"/>
    </w:pPr>
    <w:rPr>
      <w:b/>
    </w:rPr>
  </w:style>
  <w:style w:type="paragraph" w:styleId="Heading8">
    <w:name w:val="heading 8"/>
    <w:basedOn w:val="Normal"/>
    <w:next w:val="Text"/>
    <w:autoRedefine/>
    <w:qFormat/>
    <w:rsid w:val="005021BE"/>
    <w:pPr>
      <w:numPr>
        <w:ilvl w:val="7"/>
        <w:numId w:val="5"/>
      </w:numPr>
      <w:tabs>
        <w:tab w:val="left" w:pos="1701"/>
      </w:tabs>
      <w:spacing w:before="240" w:after="120"/>
      <w:outlineLvl w:val="7"/>
    </w:pPr>
    <w:rPr>
      <w:iCs/>
      <w:u w:val="single"/>
    </w:rPr>
  </w:style>
  <w:style w:type="paragraph" w:styleId="Heading9">
    <w:name w:val="heading 9"/>
    <w:basedOn w:val="Normal"/>
    <w:next w:val="Text"/>
    <w:autoRedefine/>
    <w:qFormat/>
    <w:rsid w:val="005021BE"/>
    <w:pPr>
      <w:numPr>
        <w:ilvl w:val="8"/>
        <w:numId w:val="5"/>
      </w:numPr>
      <w:tabs>
        <w:tab w:val="left" w:pos="1814"/>
      </w:tabs>
      <w:spacing w:before="240" w:after="120"/>
      <w:outlineLvl w:val="8"/>
    </w:pPr>
    <w:rPr>
      <w:rFonts w:cs="Arial"/>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
    <w:name w:val="reg"/>
    <w:basedOn w:val="Normal"/>
    <w:rsid w:val="005021BE"/>
    <w:rPr>
      <w:rFonts w:ascii="Helvetica" w:hAnsi="Helvetica"/>
    </w:rPr>
  </w:style>
  <w:style w:type="paragraph" w:customStyle="1" w:styleId="Text">
    <w:name w:val="Text"/>
    <w:basedOn w:val="Normal"/>
    <w:link w:val="TextZchn"/>
    <w:qFormat/>
    <w:rsid w:val="005021BE"/>
    <w:pPr>
      <w:spacing w:before="120" w:after="60"/>
      <w:jc w:val="both"/>
    </w:pPr>
  </w:style>
  <w:style w:type="paragraph" w:customStyle="1" w:styleId="Aufzhlung2">
    <w:name w:val="Aufzählung 2"/>
    <w:basedOn w:val="reg"/>
    <w:rsid w:val="005021BE"/>
    <w:pPr>
      <w:spacing w:after="120"/>
      <w:ind w:left="714" w:hanging="360"/>
    </w:pPr>
  </w:style>
  <w:style w:type="paragraph" w:styleId="Footer">
    <w:name w:val="footer"/>
    <w:basedOn w:val="Normal"/>
    <w:autoRedefine/>
    <w:semiHidden/>
    <w:rsid w:val="00EC1884"/>
    <w:pPr>
      <w:tabs>
        <w:tab w:val="center" w:pos="4536"/>
        <w:tab w:val="right" w:pos="9072"/>
      </w:tabs>
    </w:pPr>
    <w:rPr>
      <w:i/>
      <w:noProof/>
      <w:sz w:val="18"/>
    </w:rPr>
  </w:style>
  <w:style w:type="paragraph" w:customStyle="1" w:styleId="Inhalt">
    <w:name w:val="Inhalt"/>
    <w:basedOn w:val="Normal"/>
    <w:rsid w:val="005021BE"/>
    <w:pPr>
      <w:tabs>
        <w:tab w:val="right" w:leader="dot" w:pos="8789"/>
      </w:tabs>
      <w:spacing w:after="120"/>
      <w:ind w:left="1134" w:right="848" w:hanging="1134"/>
    </w:pPr>
    <w:rPr>
      <w:rFonts w:ascii="Helvetica" w:hAnsi="Helvetica"/>
    </w:rPr>
  </w:style>
  <w:style w:type="paragraph" w:styleId="Header">
    <w:name w:val="header"/>
    <w:basedOn w:val="Normal"/>
    <w:semiHidden/>
    <w:rsid w:val="005021BE"/>
    <w:pPr>
      <w:tabs>
        <w:tab w:val="center" w:pos="4536"/>
        <w:tab w:val="right" w:pos="9072"/>
      </w:tabs>
      <w:spacing w:after="60"/>
    </w:pPr>
    <w:rPr>
      <w:sz w:val="18"/>
    </w:rPr>
  </w:style>
  <w:style w:type="paragraph" w:customStyle="1" w:styleId="Tabelle">
    <w:name w:val="Tabelle"/>
    <w:basedOn w:val="Normal"/>
    <w:rsid w:val="005021BE"/>
    <w:pPr>
      <w:spacing w:before="60" w:after="60"/>
    </w:pPr>
  </w:style>
  <w:style w:type="paragraph" w:customStyle="1" w:styleId="Text1-1">
    <w:name w:val="Text 1/-1"/>
    <w:basedOn w:val="Normal"/>
    <w:rsid w:val="005021BE"/>
    <w:pPr>
      <w:tabs>
        <w:tab w:val="left" w:pos="560"/>
      </w:tabs>
      <w:spacing w:after="120"/>
      <w:ind w:left="567" w:hanging="567"/>
    </w:pPr>
  </w:style>
  <w:style w:type="character" w:styleId="PageNumber">
    <w:name w:val="page number"/>
    <w:semiHidden/>
    <w:rsid w:val="005021BE"/>
    <w:rPr>
      <w:rFonts w:ascii="Times New Roman" w:hAnsi="Times New Roman"/>
      <w:i/>
      <w:sz w:val="18"/>
    </w:rPr>
  </w:style>
  <w:style w:type="paragraph" w:styleId="BodyText2">
    <w:name w:val="Body Text 2"/>
    <w:basedOn w:val="Normal"/>
    <w:semiHidden/>
    <w:rsid w:val="005021BE"/>
    <w:pPr>
      <w:tabs>
        <w:tab w:val="left" w:pos="993"/>
        <w:tab w:val="right" w:pos="4395"/>
        <w:tab w:val="left" w:pos="4536"/>
      </w:tabs>
      <w:spacing w:after="120"/>
    </w:pPr>
    <w:rPr>
      <w:rFonts w:ascii="Arial" w:hAnsi="Arial"/>
    </w:rPr>
  </w:style>
  <w:style w:type="paragraph" w:styleId="BodyText3">
    <w:name w:val="Body Text 3"/>
    <w:basedOn w:val="Normal"/>
    <w:semiHidden/>
    <w:rsid w:val="005021BE"/>
    <w:pPr>
      <w:keepLines/>
      <w:tabs>
        <w:tab w:val="left" w:pos="993"/>
        <w:tab w:val="right" w:pos="4395"/>
        <w:tab w:val="left" w:pos="4536"/>
      </w:tabs>
      <w:spacing w:after="120" w:line="20" w:lineRule="atLeast"/>
    </w:pPr>
    <w:rPr>
      <w:rFonts w:ascii="Arial" w:hAnsi="Arial"/>
      <w:color w:val="FF0000"/>
    </w:rPr>
  </w:style>
  <w:style w:type="paragraph" w:styleId="BodyText">
    <w:name w:val="Body Text"/>
    <w:basedOn w:val="Normal"/>
    <w:semiHidden/>
    <w:rsid w:val="005021BE"/>
    <w:pPr>
      <w:tabs>
        <w:tab w:val="left" w:pos="993"/>
        <w:tab w:val="right" w:pos="4395"/>
        <w:tab w:val="left" w:pos="4536"/>
      </w:tabs>
      <w:spacing w:after="120"/>
    </w:pPr>
    <w:rPr>
      <w:rFonts w:ascii="Arial" w:hAnsi="Arial"/>
      <w:color w:val="0000FF"/>
    </w:rPr>
  </w:style>
  <w:style w:type="paragraph" w:customStyle="1" w:styleId="Text2">
    <w:name w:val="Text 2"/>
    <w:basedOn w:val="Heading3"/>
    <w:rsid w:val="005021BE"/>
    <w:pPr>
      <w:spacing w:before="0" w:after="0"/>
      <w:ind w:left="993" w:hanging="567"/>
      <w:outlineLvl w:val="9"/>
    </w:pPr>
    <w:rPr>
      <w:b w:val="0"/>
      <w:lang w:val="de-DE"/>
    </w:rPr>
  </w:style>
  <w:style w:type="paragraph" w:customStyle="1" w:styleId="Text1">
    <w:name w:val="Text 1"/>
    <w:basedOn w:val="Text"/>
    <w:rsid w:val="005021BE"/>
    <w:pPr>
      <w:spacing w:after="0"/>
      <w:ind w:left="426"/>
    </w:pPr>
  </w:style>
  <w:style w:type="character" w:styleId="CommentReference">
    <w:name w:val="annotation reference"/>
    <w:uiPriority w:val="99"/>
    <w:rsid w:val="005021BE"/>
    <w:rPr>
      <w:sz w:val="16"/>
    </w:rPr>
  </w:style>
  <w:style w:type="paragraph" w:styleId="CommentText">
    <w:name w:val="annotation text"/>
    <w:aliases w:val="Comments,Comment Text Char2,Comment Text Char1 Char1,Comment Text Char Char Char1,Comment Text Char1 Char Char,Comment Text Char Char Char Char,Comment Text Char Char1 Char,Comment Text Char Char2,Annotationtext, Char,Char, Cha,Cha"/>
    <w:basedOn w:val="Normal"/>
    <w:link w:val="CommentTextChar"/>
    <w:rsid w:val="005021BE"/>
    <w:rPr>
      <w:sz w:val="20"/>
    </w:rPr>
  </w:style>
  <w:style w:type="paragraph" w:styleId="BalloonText">
    <w:name w:val="Balloon Text"/>
    <w:basedOn w:val="Normal"/>
    <w:semiHidden/>
    <w:rsid w:val="005021BE"/>
    <w:rPr>
      <w:rFonts w:ascii="Tahoma" w:hAnsi="Tahoma" w:cs="Tahoma"/>
      <w:sz w:val="16"/>
      <w:szCs w:val="16"/>
    </w:rPr>
  </w:style>
  <w:style w:type="paragraph" w:styleId="Caption">
    <w:name w:val="caption"/>
    <w:basedOn w:val="Normal"/>
    <w:next w:val="Normal"/>
    <w:qFormat/>
    <w:rsid w:val="005021BE"/>
    <w:pPr>
      <w:spacing w:before="120" w:after="120"/>
      <w:jc w:val="center"/>
    </w:pPr>
    <w:rPr>
      <w:bCs/>
      <w:sz w:val="20"/>
    </w:rPr>
  </w:style>
  <w:style w:type="character" w:styleId="Hyperlink">
    <w:name w:val="Hyperlink"/>
    <w:rsid w:val="005021BE"/>
    <w:rPr>
      <w:color w:val="0000FF"/>
      <w:u w:val="single"/>
    </w:rPr>
  </w:style>
  <w:style w:type="paragraph" w:styleId="BodyTextIndent2">
    <w:name w:val="Body Text Indent 2"/>
    <w:basedOn w:val="Normal"/>
    <w:semiHidden/>
    <w:rsid w:val="005021BE"/>
    <w:pPr>
      <w:ind w:left="993"/>
    </w:pPr>
    <w:rPr>
      <w:rFonts w:ascii="Helvetica" w:hAnsi="Helvetica"/>
      <w:color w:val="auto"/>
      <w:lang w:eastAsia="de-DE"/>
    </w:rPr>
  </w:style>
  <w:style w:type="paragraph" w:customStyle="1" w:styleId="Tabellenberschrift">
    <w:name w:val="Tabellenüberschrift"/>
    <w:basedOn w:val="Text"/>
    <w:next w:val="Text"/>
    <w:rsid w:val="005021BE"/>
    <w:pPr>
      <w:keepNext/>
      <w:numPr>
        <w:numId w:val="4"/>
      </w:numPr>
      <w:tabs>
        <w:tab w:val="num" w:pos="360"/>
        <w:tab w:val="left" w:pos="964"/>
      </w:tabs>
      <w:spacing w:before="240" w:after="120"/>
      <w:ind w:left="0"/>
    </w:pPr>
    <w:rPr>
      <w:b/>
    </w:rPr>
  </w:style>
  <w:style w:type="paragraph" w:customStyle="1" w:styleId="berschrift4ohneGliederung">
    <w:name w:val="Überschrift 4 ohne Gliederung"/>
    <w:basedOn w:val="Normal"/>
    <w:next w:val="Text"/>
    <w:rsid w:val="005021BE"/>
    <w:rPr>
      <w:b/>
      <w:bCs/>
    </w:rPr>
  </w:style>
  <w:style w:type="paragraph" w:customStyle="1" w:styleId="berschrift5ohneGliederung">
    <w:name w:val="Überschrift 5 ohne Gliederung"/>
    <w:basedOn w:val="Normal"/>
    <w:next w:val="Text"/>
    <w:rsid w:val="005021BE"/>
    <w:pPr>
      <w:keepNext/>
      <w:tabs>
        <w:tab w:val="left" w:pos="851"/>
      </w:tabs>
      <w:spacing w:before="240" w:after="120"/>
      <w:ind w:left="851" w:hanging="851"/>
    </w:pPr>
    <w:rPr>
      <w:u w:val="single"/>
    </w:rPr>
  </w:style>
  <w:style w:type="paragraph" w:styleId="TOC1">
    <w:name w:val="toc 1"/>
    <w:basedOn w:val="Normal"/>
    <w:next w:val="Normal"/>
    <w:autoRedefine/>
    <w:semiHidden/>
    <w:rsid w:val="005021BE"/>
    <w:pPr>
      <w:tabs>
        <w:tab w:val="left" w:pos="360"/>
        <w:tab w:val="right" w:leader="dot" w:pos="9113"/>
      </w:tabs>
      <w:spacing w:before="120" w:after="120"/>
      <w:ind w:left="360" w:hanging="360"/>
    </w:pPr>
    <w:rPr>
      <w:bCs/>
      <w:noProof/>
      <w:szCs w:val="24"/>
    </w:rPr>
  </w:style>
  <w:style w:type="paragraph" w:styleId="TOC2">
    <w:name w:val="toc 2"/>
    <w:basedOn w:val="Normal"/>
    <w:next w:val="Normal"/>
    <w:autoRedefine/>
    <w:semiHidden/>
    <w:rsid w:val="005021BE"/>
    <w:pPr>
      <w:tabs>
        <w:tab w:val="left" w:pos="480"/>
        <w:tab w:val="right" w:leader="dot" w:pos="9113"/>
      </w:tabs>
      <w:spacing w:after="120"/>
      <w:ind w:left="480" w:hanging="480"/>
    </w:pPr>
    <w:rPr>
      <w:bCs/>
      <w:noProof/>
      <w:szCs w:val="24"/>
    </w:rPr>
  </w:style>
  <w:style w:type="paragraph" w:styleId="TOC3">
    <w:name w:val="toc 3"/>
    <w:basedOn w:val="Normal"/>
    <w:next w:val="Normal"/>
    <w:autoRedefine/>
    <w:semiHidden/>
    <w:rsid w:val="005021BE"/>
    <w:pPr>
      <w:tabs>
        <w:tab w:val="left" w:pos="720"/>
        <w:tab w:val="right" w:leader="dot" w:pos="9113"/>
      </w:tabs>
      <w:spacing w:after="120"/>
      <w:ind w:left="720" w:hanging="720"/>
    </w:pPr>
    <w:rPr>
      <w:noProof/>
      <w:szCs w:val="24"/>
    </w:rPr>
  </w:style>
  <w:style w:type="paragraph" w:styleId="TOC4">
    <w:name w:val="toc 4"/>
    <w:basedOn w:val="Normal"/>
    <w:next w:val="Normal"/>
    <w:autoRedefine/>
    <w:semiHidden/>
    <w:rsid w:val="005021BE"/>
    <w:pPr>
      <w:tabs>
        <w:tab w:val="left" w:pos="960"/>
        <w:tab w:val="right" w:leader="dot" w:pos="9113"/>
      </w:tabs>
      <w:spacing w:after="120"/>
      <w:ind w:left="958" w:hanging="958"/>
    </w:pPr>
    <w:rPr>
      <w:noProof/>
      <w:szCs w:val="22"/>
    </w:rPr>
  </w:style>
  <w:style w:type="paragraph" w:styleId="TOC5">
    <w:name w:val="toc 5"/>
    <w:basedOn w:val="Normal"/>
    <w:next w:val="Normal"/>
    <w:autoRedefine/>
    <w:semiHidden/>
    <w:rsid w:val="005021BE"/>
    <w:pPr>
      <w:tabs>
        <w:tab w:val="left" w:pos="1080"/>
        <w:tab w:val="right" w:leader="dot" w:pos="9113"/>
      </w:tabs>
      <w:spacing w:after="120"/>
      <w:ind w:left="1080" w:hanging="1080"/>
    </w:pPr>
    <w:rPr>
      <w:noProof/>
      <w:szCs w:val="22"/>
    </w:rPr>
  </w:style>
  <w:style w:type="paragraph" w:styleId="TOC6">
    <w:name w:val="toc 6"/>
    <w:basedOn w:val="Normal"/>
    <w:next w:val="Normal"/>
    <w:autoRedefine/>
    <w:semiHidden/>
    <w:rsid w:val="005021BE"/>
    <w:pPr>
      <w:tabs>
        <w:tab w:val="left" w:pos="1200"/>
        <w:tab w:val="right" w:leader="dot" w:pos="9113"/>
      </w:tabs>
      <w:spacing w:after="120"/>
      <w:ind w:left="1200" w:hanging="1200"/>
    </w:pPr>
    <w:rPr>
      <w:noProof/>
      <w:szCs w:val="22"/>
    </w:rPr>
  </w:style>
  <w:style w:type="paragraph" w:styleId="TOC7">
    <w:name w:val="toc 7"/>
    <w:basedOn w:val="Normal"/>
    <w:next w:val="Normal"/>
    <w:autoRedefine/>
    <w:semiHidden/>
    <w:rsid w:val="005021BE"/>
    <w:pPr>
      <w:tabs>
        <w:tab w:val="left" w:pos="1320"/>
        <w:tab w:val="right" w:leader="dot" w:pos="9120"/>
      </w:tabs>
      <w:spacing w:after="120"/>
      <w:ind w:left="1320" w:hanging="1320"/>
    </w:pPr>
    <w:rPr>
      <w:sz w:val="22"/>
      <w:szCs w:val="22"/>
    </w:rPr>
  </w:style>
  <w:style w:type="paragraph" w:styleId="TOC8">
    <w:name w:val="toc 8"/>
    <w:basedOn w:val="Normal"/>
    <w:next w:val="Normal"/>
    <w:autoRedefine/>
    <w:semiHidden/>
    <w:rsid w:val="005021BE"/>
    <w:rPr>
      <w:sz w:val="22"/>
      <w:szCs w:val="22"/>
    </w:rPr>
  </w:style>
  <w:style w:type="paragraph" w:styleId="TOC9">
    <w:name w:val="toc 9"/>
    <w:basedOn w:val="Normal"/>
    <w:next w:val="Normal"/>
    <w:autoRedefine/>
    <w:semiHidden/>
    <w:rsid w:val="005021BE"/>
    <w:rPr>
      <w:sz w:val="22"/>
      <w:szCs w:val="22"/>
    </w:rPr>
  </w:style>
  <w:style w:type="paragraph" w:styleId="DocumentMap">
    <w:name w:val="Document Map"/>
    <w:basedOn w:val="Normal"/>
    <w:semiHidden/>
    <w:rsid w:val="005021BE"/>
    <w:pPr>
      <w:shd w:val="clear" w:color="auto" w:fill="000080"/>
    </w:pPr>
    <w:rPr>
      <w:rFonts w:ascii="Tahoma" w:hAnsi="Tahoma"/>
    </w:rPr>
  </w:style>
  <w:style w:type="paragraph" w:styleId="EndnoteText">
    <w:name w:val="endnote text"/>
    <w:basedOn w:val="Normal"/>
    <w:semiHidden/>
    <w:rsid w:val="005021BE"/>
    <w:pPr>
      <w:tabs>
        <w:tab w:val="left" w:pos="567"/>
      </w:tabs>
    </w:pPr>
    <w:rPr>
      <w:color w:val="auto"/>
      <w:sz w:val="22"/>
    </w:rPr>
  </w:style>
  <w:style w:type="paragraph" w:styleId="Title">
    <w:name w:val="Title"/>
    <w:basedOn w:val="Normal"/>
    <w:qFormat/>
    <w:rsid w:val="005021BE"/>
    <w:pPr>
      <w:jc w:val="center"/>
    </w:pPr>
    <w:rPr>
      <w:b/>
      <w:color w:val="auto"/>
      <w:sz w:val="22"/>
    </w:rPr>
  </w:style>
  <w:style w:type="paragraph" w:customStyle="1" w:styleId="TextBericht">
    <w:name w:val="Text_Bericht"/>
    <w:basedOn w:val="Normal"/>
    <w:next w:val="Normal"/>
    <w:rsid w:val="005021BE"/>
    <w:pPr>
      <w:spacing w:before="120" w:after="80" w:line="360" w:lineRule="auto"/>
      <w:ind w:firstLine="284"/>
      <w:jc w:val="both"/>
    </w:pPr>
    <w:rPr>
      <w:color w:val="auto"/>
    </w:rPr>
  </w:style>
  <w:style w:type="character" w:customStyle="1" w:styleId="E-MailFormatvorlage51">
    <w:name w:val="E-MailFormatvorlage51"/>
    <w:rsid w:val="005021BE"/>
    <w:rPr>
      <w:rFonts w:ascii="Comic Sans MS" w:hAnsi="Comic Sans MS" w:cs="Arial"/>
      <w:color w:val="008080"/>
      <w:sz w:val="20"/>
    </w:rPr>
  </w:style>
  <w:style w:type="character" w:styleId="FollowedHyperlink">
    <w:name w:val="FollowedHyperlink"/>
    <w:semiHidden/>
    <w:rsid w:val="005021BE"/>
    <w:rPr>
      <w:color w:val="800080"/>
      <w:u w:val="single"/>
    </w:rPr>
  </w:style>
  <w:style w:type="paragraph" w:customStyle="1" w:styleId="textbericht0">
    <w:name w:val="text_bericht"/>
    <w:basedOn w:val="Normal"/>
    <w:rsid w:val="005021BE"/>
    <w:pPr>
      <w:spacing w:before="120" w:after="80" w:line="360" w:lineRule="auto"/>
      <w:ind w:firstLine="284"/>
      <w:jc w:val="both"/>
    </w:pPr>
    <w:rPr>
      <w:rFonts w:ascii="Arial" w:hAnsi="Arial"/>
      <w:color w:val="auto"/>
      <w:lang w:eastAsia="de-DE"/>
    </w:rPr>
  </w:style>
  <w:style w:type="paragraph" w:customStyle="1" w:styleId="Formatvorlageberschrift1Automatisch">
    <w:name w:val="Formatvorlage Überschrift 1 + Automatisch"/>
    <w:basedOn w:val="Heading1"/>
    <w:rsid w:val="005021BE"/>
    <w:rPr>
      <w:color w:val="auto"/>
      <w:sz w:val="24"/>
      <w:u w:val="none"/>
    </w:rPr>
  </w:style>
  <w:style w:type="paragraph" w:customStyle="1" w:styleId="Formatvorlageberschrift2AutomatischBlock">
    <w:name w:val="Formatvorlage Überschrift 2 + Automatisch Block"/>
    <w:basedOn w:val="Heading2"/>
    <w:rsid w:val="005021BE"/>
    <w:pPr>
      <w:jc w:val="both"/>
    </w:pPr>
    <w:rPr>
      <w:color w:val="auto"/>
      <w:sz w:val="24"/>
      <w:u w:val="none"/>
      <w:lang w:val="fr-FR"/>
    </w:rPr>
  </w:style>
  <w:style w:type="paragraph" w:customStyle="1" w:styleId="Formatvorlageberschrift3Latein12ptAutomatischBlock">
    <w:name w:val="Formatvorlage Überschrift 3 + (Latein) 12 pt Automatisch Block"/>
    <w:basedOn w:val="Heading3"/>
    <w:rsid w:val="005021BE"/>
    <w:pPr>
      <w:jc w:val="both"/>
    </w:pPr>
    <w:rPr>
      <w:color w:val="auto"/>
      <w:sz w:val="24"/>
      <w:u w:val="none"/>
    </w:rPr>
  </w:style>
  <w:style w:type="paragraph" w:customStyle="1" w:styleId="text0">
    <w:name w:val="text"/>
    <w:basedOn w:val="Normal"/>
    <w:rsid w:val="005021BE"/>
    <w:pPr>
      <w:spacing w:before="100" w:beforeAutospacing="1" w:after="100" w:afterAutospacing="1"/>
    </w:pPr>
    <w:rPr>
      <w:color w:val="auto"/>
      <w:szCs w:val="24"/>
      <w:lang w:val="de-DE" w:eastAsia="de-DE"/>
    </w:rPr>
  </w:style>
  <w:style w:type="character" w:styleId="Strong">
    <w:name w:val="Strong"/>
    <w:qFormat/>
    <w:rsid w:val="005021BE"/>
    <w:rPr>
      <w:b/>
      <w:bCs/>
    </w:rPr>
  </w:style>
  <w:style w:type="paragraph" w:styleId="CommentSubject">
    <w:name w:val="annotation subject"/>
    <w:basedOn w:val="CommentText"/>
    <w:next w:val="CommentText"/>
    <w:link w:val="CommentSubjectChar"/>
    <w:uiPriority w:val="99"/>
    <w:semiHidden/>
    <w:unhideWhenUsed/>
    <w:rsid w:val="00B826B2"/>
    <w:rPr>
      <w:b/>
      <w:bCs/>
    </w:rPr>
  </w:style>
  <w:style w:type="character" w:customStyle="1" w:styleId="CommentTextChar">
    <w:name w:val="Comment Text Char"/>
    <w:aliases w:val="Comments Char,Comment Text Char2 Char,Comment Text Char1 Char1 Char,Comment Text Char Char Char1 Char,Comment Text Char1 Char Char Char,Comment Text Char Char Char Char Char,Comment Text Char Char1 Char Char,Annotationtext Char"/>
    <w:link w:val="CommentText"/>
    <w:rsid w:val="00B826B2"/>
    <w:rPr>
      <w:color w:val="000000"/>
      <w:lang w:val="en-GB" w:eastAsia="en-US"/>
    </w:rPr>
  </w:style>
  <w:style w:type="character" w:customStyle="1" w:styleId="CommentSubjectChar">
    <w:name w:val="Comment Subject Char"/>
    <w:link w:val="CommentSubject"/>
    <w:rsid w:val="00B826B2"/>
    <w:rPr>
      <w:color w:val="000000"/>
      <w:lang w:val="en-GB" w:eastAsia="en-US"/>
    </w:rPr>
  </w:style>
  <w:style w:type="paragraph" w:styleId="Revision">
    <w:name w:val="Revision"/>
    <w:hidden/>
    <w:uiPriority w:val="99"/>
    <w:semiHidden/>
    <w:rsid w:val="00B826B2"/>
    <w:rPr>
      <w:color w:val="000000"/>
      <w:sz w:val="24"/>
      <w:lang w:val="en-GB" w:eastAsia="en-US"/>
    </w:rPr>
  </w:style>
  <w:style w:type="paragraph" w:customStyle="1" w:styleId="ATextBericht">
    <w:name w:val="A_Text_Bericht"/>
    <w:basedOn w:val="Normal"/>
    <w:qFormat/>
    <w:rsid w:val="00AA409C"/>
    <w:pPr>
      <w:spacing w:before="120" w:after="60"/>
      <w:jc w:val="both"/>
    </w:pPr>
    <w:rPr>
      <w:color w:val="auto"/>
      <w:lang w:eastAsia="de-DE"/>
    </w:rPr>
  </w:style>
  <w:style w:type="paragraph" w:customStyle="1" w:styleId="BodytextAgency">
    <w:name w:val="Body text (Agency)"/>
    <w:basedOn w:val="Normal"/>
    <w:link w:val="BodytextAgencyChar"/>
    <w:rsid w:val="00D51C37"/>
    <w:pPr>
      <w:spacing w:after="140" w:line="280" w:lineRule="atLeast"/>
    </w:pPr>
    <w:rPr>
      <w:rFonts w:ascii="Verdana" w:eastAsia="Verdana" w:hAnsi="Verdana"/>
      <w:color w:val="auto"/>
      <w:sz w:val="18"/>
      <w:szCs w:val="18"/>
      <w:lang w:eastAsia="en-GB"/>
    </w:rPr>
  </w:style>
  <w:style w:type="character" w:customStyle="1" w:styleId="BodytextAgencyChar">
    <w:name w:val="Body text (Agency) Char"/>
    <w:link w:val="BodytextAgency"/>
    <w:rsid w:val="00D51C37"/>
    <w:rPr>
      <w:rFonts w:ascii="Verdana" w:eastAsia="Verdana" w:hAnsi="Verdana" w:cs="Verdana"/>
      <w:sz w:val="18"/>
      <w:szCs w:val="18"/>
      <w:lang w:val="en-GB" w:eastAsia="en-GB"/>
    </w:rPr>
  </w:style>
  <w:style w:type="character" w:customStyle="1" w:styleId="TextZchn">
    <w:name w:val="Text Zchn"/>
    <w:link w:val="Text"/>
    <w:rsid w:val="00D21892"/>
    <w:rPr>
      <w:color w:val="000000"/>
      <w:sz w:val="24"/>
      <w:lang w:val="en-GB" w:eastAsia="en-US"/>
    </w:rPr>
  </w:style>
  <w:style w:type="character" w:styleId="Emphasis">
    <w:name w:val="Emphasis"/>
    <w:uiPriority w:val="20"/>
    <w:qFormat/>
    <w:rsid w:val="00365558"/>
    <w:rPr>
      <w:i/>
      <w:iCs/>
    </w:rPr>
  </w:style>
  <w:style w:type="character" w:customStyle="1" w:styleId="hps">
    <w:name w:val="hps"/>
    <w:basedOn w:val="DefaultParagraphFont"/>
    <w:rsid w:val="00365558"/>
  </w:style>
  <w:style w:type="paragraph" w:customStyle="1" w:styleId="Default">
    <w:name w:val="Default"/>
    <w:rsid w:val="001B03EC"/>
    <w:pPr>
      <w:autoSpaceDE w:val="0"/>
      <w:autoSpaceDN w:val="0"/>
      <w:adjustRightInd w:val="0"/>
    </w:pPr>
    <w:rPr>
      <w:rFonts w:ascii="Verdana" w:hAnsi="Verdana" w:cs="Verdana"/>
      <w:color w:val="000000"/>
      <w:sz w:val="24"/>
      <w:szCs w:val="24"/>
    </w:rPr>
  </w:style>
  <w:style w:type="paragraph" w:styleId="ListParagraph">
    <w:name w:val="List Paragraph"/>
    <w:basedOn w:val="Normal"/>
    <w:uiPriority w:val="34"/>
    <w:qFormat/>
    <w:rsid w:val="001B03EC"/>
    <w:pPr>
      <w:ind w:left="720"/>
      <w:contextualSpacing/>
    </w:pPr>
  </w:style>
  <w:style w:type="character" w:customStyle="1" w:styleId="PersnlicherErstellstil">
    <w:name w:val="Persönlicher Erstellstil"/>
    <w:rsid w:val="005B3756"/>
    <w:rPr>
      <w:rFonts w:ascii="Comic Sans MS" w:hAnsi="Comic Sans MS" w:cs="Arial"/>
      <w:color w:val="008080"/>
      <w:sz w:val="20"/>
    </w:rPr>
  </w:style>
  <w:style w:type="paragraph" w:customStyle="1" w:styleId="Tableheading">
    <w:name w:val="Tableheading"/>
    <w:basedOn w:val="Normal"/>
    <w:next w:val="Normal"/>
    <w:rsid w:val="00B3047A"/>
    <w:pPr>
      <w:jc w:val="center"/>
    </w:pPr>
    <w:rPr>
      <w:b/>
      <w:color w:val="auto"/>
      <w:lang w:eastAsia="de-DE"/>
    </w:rPr>
  </w:style>
  <w:style w:type="paragraph" w:customStyle="1" w:styleId="Tabletext">
    <w:name w:val="Tabletext"/>
    <w:basedOn w:val="Normal"/>
    <w:rsid w:val="00B3047A"/>
    <w:pPr>
      <w:adjustRightInd w:val="0"/>
      <w:spacing w:before="60" w:after="60"/>
      <w:jc w:val="center"/>
    </w:pPr>
    <w:rPr>
      <w:rFonts w:cs="Arial"/>
      <w:color w:val="auto"/>
      <w:szCs w:val="16"/>
      <w:lang w:eastAsia="de-DE"/>
    </w:rPr>
  </w:style>
  <w:style w:type="paragraph" w:customStyle="1" w:styleId="tablefootnote">
    <w:name w:val="tablefootnote"/>
    <w:basedOn w:val="textbericht0"/>
    <w:rsid w:val="00B3047A"/>
    <w:pPr>
      <w:spacing w:before="0" w:after="0" w:line="240" w:lineRule="auto"/>
      <w:ind w:left="284" w:firstLine="0"/>
    </w:pPr>
    <w:rPr>
      <w:rFonts w:ascii="Times New Roman" w:hAnsi="Times New Roman"/>
      <w:sz w:val="20"/>
      <w:lang w:val="en-US"/>
    </w:rPr>
  </w:style>
  <w:style w:type="table" w:styleId="TableGrid">
    <w:name w:val="Table Grid"/>
    <w:basedOn w:val="TableNormal"/>
    <w:uiPriority w:val="39"/>
    <w:rsid w:val="0020769E"/>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769E"/>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216438">
      <w:bodyDiv w:val="1"/>
      <w:marLeft w:val="0"/>
      <w:marRight w:val="0"/>
      <w:marTop w:val="0"/>
      <w:marBottom w:val="0"/>
      <w:divBdr>
        <w:top w:val="none" w:sz="0" w:space="0" w:color="auto"/>
        <w:left w:val="none" w:sz="0" w:space="0" w:color="auto"/>
        <w:bottom w:val="none" w:sz="0" w:space="0" w:color="auto"/>
        <w:right w:val="none" w:sz="0" w:space="0" w:color="auto"/>
      </w:divBdr>
    </w:div>
    <w:div w:id="696855361">
      <w:bodyDiv w:val="1"/>
      <w:marLeft w:val="0"/>
      <w:marRight w:val="0"/>
      <w:marTop w:val="0"/>
      <w:marBottom w:val="0"/>
      <w:divBdr>
        <w:top w:val="none" w:sz="0" w:space="0" w:color="auto"/>
        <w:left w:val="none" w:sz="0" w:space="0" w:color="auto"/>
        <w:bottom w:val="none" w:sz="0" w:space="0" w:color="auto"/>
        <w:right w:val="none" w:sz="0" w:space="0" w:color="auto"/>
      </w:divBdr>
    </w:div>
    <w:div w:id="1698193346">
      <w:bodyDiv w:val="1"/>
      <w:marLeft w:val="0"/>
      <w:marRight w:val="0"/>
      <w:marTop w:val="0"/>
      <w:marBottom w:val="0"/>
      <w:divBdr>
        <w:top w:val="none" w:sz="0" w:space="0" w:color="auto"/>
        <w:left w:val="none" w:sz="0" w:space="0" w:color="auto"/>
        <w:bottom w:val="none" w:sz="0" w:space="0" w:color="auto"/>
        <w:right w:val="none" w:sz="0" w:space="0" w:color="auto"/>
      </w:divBdr>
    </w:div>
    <w:div w:id="1784570552">
      <w:bodyDiv w:val="1"/>
      <w:marLeft w:val="0"/>
      <w:marRight w:val="0"/>
      <w:marTop w:val="0"/>
      <w:marBottom w:val="0"/>
      <w:divBdr>
        <w:top w:val="none" w:sz="0" w:space="0" w:color="auto"/>
        <w:left w:val="none" w:sz="0" w:space="0" w:color="auto"/>
        <w:bottom w:val="none" w:sz="0" w:space="0" w:color="auto"/>
        <w:right w:val="none" w:sz="0" w:space="0" w:color="auto"/>
      </w:divBdr>
    </w:div>
    <w:div w:id="2030637620">
      <w:bodyDiv w:val="1"/>
      <w:marLeft w:val="0"/>
      <w:marRight w:val="0"/>
      <w:marTop w:val="0"/>
      <w:marBottom w:val="0"/>
      <w:divBdr>
        <w:top w:val="none" w:sz="0" w:space="0" w:color="auto"/>
        <w:left w:val="none" w:sz="0" w:space="0" w:color="auto"/>
        <w:bottom w:val="none" w:sz="0" w:space="0" w:color="auto"/>
        <w:right w:val="none" w:sz="0" w:space="0" w:color="auto"/>
      </w:divBdr>
    </w:div>
    <w:div w:id="206066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f:field ref="objname" par="" text="20231115_spc_853_DCP_32.31_en_marked_MS commented" edit="true"/>
    <f:field ref="objsubject" par="" text="" edit="true"/>
    <f:field ref="objcreatedby" par="" text="Lüttkopf, Dirk, Dr."/>
    <f:field ref="objcreatedat" par="" date="2024-02-26T14:12:49" text="26.02.2024 14:12:49"/>
    <f:field ref="objchangedby" par="" text="Lüttkopf, Dirk, Dr."/>
    <f:field ref="objmodifiedat" par="" date="2024-03-13T15:53:56" text="13.03.2024 15:53:56"/>
    <f:field ref="doc_FSCFOLIO_1_1001_FieldDocumentNumber" par="" text=""/>
    <f:field ref="doc_FSCFOLIO_1_1001_FieldSubject" par="" text="" edit="true"/>
    <f:field ref="FSCFOLIO_1_1001_FieldCurrentUser" par="" text="Dr. Dirk Lüttkopf"/>
    <f:field ref="CCAPRECONFIG_15_1001_Objektname" par="" text="20231115_spc_853_DCP_32.31_en_marked_MS commented" edit="true"/>
    <f:field ref="DEPRECONFIG_15_1001_Objektname" par="" text="20231115_spc_853_DCP_32.31_en_marked_MS commented" edit="true"/>
  </f:record>
  <f:display par="" text="Allgemein">
    <f:field ref="objname" text="Name"/>
    <f:field ref="objsubject" text="Betreff (einzeilig)"/>
    <f:field ref="objcreatedby" text="Erzeugt von"/>
    <f:field ref="objcreatedat" text="Erzeugt am/um"/>
    <f:field ref="objchangedby" text="Letzte Änderung von"/>
    <f:field ref="objmodifiedat" text="Letzte Änderung am/um"/>
    <f:field ref="FSCFOLIO_1_1001_FieldCurrentUser" text="Aktueller Benutzer"/>
    <f:field ref="CCAPRECONFIG_15_1001_Objektname" text="Objektname"/>
    <f:field ref="DEPRECONFIG_15_1001_Objektname" text="Objektname"/>
  </f:display>
  <f:display par="" text="Serienbrief">
    <f:field ref="doc_FSCFOLIO_1_1001_FieldDocumentNumber" text="Dokument Nummer"/>
    <f:field ref="doc_FSCFOLIO_1_1001_FieldSubject" text="Betreff"/>
  </f:display>
</f:field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21054-8E5D-45F8-862D-CFA7263CF82A}">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2BD25FF9-5A4A-4588-9A93-DE5981B48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6607</Words>
  <Characters>37629</Characters>
  <Application>Microsoft Office Word</Application>
  <DocSecurity>0</DocSecurity>
  <Lines>313</Lines>
  <Paragraphs>88</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PART IB:</vt:lpstr>
      <vt:lpstr>PART IB:</vt:lpstr>
      <vt:lpstr>PART IB:</vt:lpstr>
    </vt:vector>
  </TitlesOfParts>
  <Company>Octapharma</Company>
  <LinksUpToDate>false</LinksUpToDate>
  <CharactersWithSpaces>44148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IB:</dc:title>
  <dc:subject/>
  <dc:creator>Huber</dc:creator>
  <cp:keywords/>
  <cp:lastModifiedBy>Ivancsits, Sabine</cp:lastModifiedBy>
  <cp:revision>5</cp:revision>
  <cp:lastPrinted>2020-11-02T10:02:00Z</cp:lastPrinted>
  <dcterms:created xsi:type="dcterms:W3CDTF">2024-04-18T11:50:00Z</dcterms:created>
  <dcterms:modified xsi:type="dcterms:W3CDTF">2024-05-02T09:03:00Z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LOCAL@2220.100:LastFinalSignDocument">
    <vt:lpwstr/>
  </property>
  <property fmtid="{D5CDD505-2E9C-101B-9397-08002B2CF9AE}" pid="3" name="FSC#LOCAL@2220.100:LastFinalSignDocumentAt">
    <vt:lpwstr/>
  </property>
  <property fmtid="{D5CDD505-2E9C-101B-9397-08002B2CF9AE}" pid="4" name="FSC#LOCAL@2220.100:LastFinalSignDocumentUserMail">
    <vt:lpwstr/>
  </property>
  <property fmtid="{D5CDD505-2E9C-101B-9397-08002B2CF9AE}" pid="5" name="FSC#LOCAL@2220.100:LastFinalSignDocumentUserTel">
    <vt:lpwstr/>
  </property>
  <property fmtid="{D5CDD505-2E9C-101B-9397-08002B2CF9AE}" pid="6" name="FSC#LOCAL@2220.100:LastFinalSignDocumentOE">
    <vt:lpwstr/>
  </property>
  <property fmtid="{D5CDD505-2E9C-101B-9397-08002B2CF9AE}" pid="7" name="FSC#LOCAL@2220.100:ProcResponsibleGroupFullName">
    <vt:lpwstr/>
  </property>
  <property fmtid="{D5CDD505-2E9C-101B-9397-08002B2CF9AE}" pid="8" name="FSC#LOCAL@2220.100:ApplicationTravellerOU">
    <vt:lpwstr/>
  </property>
  <property fmtid="{D5CDD505-2E9C-101B-9397-08002B2CF9AE}" pid="9" name="FSC#PEICFG@15.1700:DrugName">
    <vt:lpwstr/>
  </property>
  <property fmtid="{D5CDD505-2E9C-101B-9397-08002B2CF9AE}" pid="10" name="FSC#PEICFG@15.1700:FirstENRMedicalDesc">
    <vt:lpwstr/>
  </property>
  <property fmtid="{D5CDD505-2E9C-101B-9397-08002B2CF9AE}" pid="11" name="FSC#PEICFG@15.1700:AllENRMedicalDesc">
    <vt:lpwstr/>
  </property>
  <property fmtid="{D5CDD505-2E9C-101B-9397-08002B2CF9AE}" pid="12" name="FSC#PEICFG@15.1700:FirstENRDosageForm">
    <vt:lpwstr/>
  </property>
  <property fmtid="{D5CDD505-2E9C-101B-9397-08002B2CF9AE}" pid="13" name="FSC#PEICFG@15.1700:AllENRNumbers">
    <vt:lpwstr/>
  </property>
  <property fmtid="{D5CDD505-2E9C-101B-9397-08002B2CF9AE}" pid="14" name="FSC#PEICFG@15.1700:FirstENRPackageSize">
    <vt:lpwstr/>
  </property>
  <property fmtid="{D5CDD505-2E9C-101B-9397-08002B2CF9AE}" pid="15" name="FSC#PEICFG@15.1700:FirstENRModeNumber">
    <vt:lpwstr/>
  </property>
  <property fmtid="{D5CDD505-2E9C-101B-9397-08002B2CF9AE}" pid="16" name="FSC#PEICFG@15.1700:FirstENRBaseModeNumber">
    <vt:lpwstr/>
  </property>
  <property fmtid="{D5CDD505-2E9C-101B-9397-08002B2CF9AE}" pid="17" name="FSC#PEICFG@15.1700:FirstENRLicenceNumber">
    <vt:lpwstr/>
  </property>
  <property fmtid="{D5CDD505-2E9C-101B-9397-08002B2CF9AE}" pid="18" name="FSC#PEICFG@15.1700:AllENRLicenceNumbers">
    <vt:lpwstr/>
  </property>
  <property fmtid="{D5CDD505-2E9C-101B-9397-08002B2CF9AE}" pid="19" name="FSC#PEICFG@15.1700:INN">
    <vt:lpwstr/>
  </property>
  <property fmtid="{D5CDD505-2E9C-101B-9397-08002B2CF9AE}" pid="20" name="FSC#PEICFG@15.1700:RoleInApprovalProcess">
    <vt:lpwstr/>
  </property>
  <property fmtid="{D5CDD505-2E9C-101B-9397-08002B2CF9AE}" pid="21" name="FSC#PEICFG@15.1700:ReporterName">
    <vt:lpwstr/>
  </property>
  <property fmtid="{D5CDD505-2E9C-101B-9397-08002B2CF9AE}" pid="22" name="FSC#PEICFG@15.1700:CoReporterName">
    <vt:lpwstr/>
  </property>
  <property fmtid="{D5CDD505-2E9C-101B-9397-08002B2CF9AE}" pid="23" name="FSC#PEICFG@15.1700:PeerName">
    <vt:lpwstr/>
  </property>
  <property fmtid="{D5CDD505-2E9C-101B-9397-08002B2CF9AE}" pid="24" name="FSC#PEICFG@15.1700:ReporterCountry">
    <vt:lpwstr/>
  </property>
  <property fmtid="{D5CDD505-2E9C-101B-9397-08002B2CF9AE}" pid="25" name="FSC#PEICFG@15.1700:CoReporterCountry">
    <vt:lpwstr/>
  </property>
  <property fmtid="{D5CDD505-2E9C-101B-9397-08002B2CF9AE}" pid="26" name="FSC#PEICFG@15.1700:PeerCountry">
    <vt:lpwstr/>
  </property>
  <property fmtid="{D5CDD505-2E9C-101B-9397-08002B2CF9AE}" pid="27" name="FSC#PEICFG@15.1700:AdmissionDate">
    <vt:lpwstr/>
  </property>
  <property fmtid="{D5CDD505-2E9C-101B-9397-08002B2CF9AE}" pid="28" name="FSC#PEICFG@15.1700:CHMPName">
    <vt:lpwstr>Jan Müller-Berghaus</vt:lpwstr>
  </property>
  <property fmtid="{D5CDD505-2E9C-101B-9397-08002B2CF9AE}" pid="29" name="FSC#PEICFG@15.1700:CVMPName">
    <vt:lpwstr>Esther Werner</vt:lpwstr>
  </property>
  <property fmtid="{D5CDD505-2E9C-101B-9397-08002B2CF9AE}" pid="30" name="FSC#PEICFG@15.1700:ApplDocAccountingState">
    <vt:lpwstr/>
  </property>
  <property fmtid="{D5CDD505-2E9C-101B-9397-08002B2CF9AE}" pid="31" name="FSC#PEICFG@15.1700:ApplDocApplicationState">
    <vt:lpwstr/>
  </property>
  <property fmtid="{D5CDD505-2E9C-101B-9397-08002B2CF9AE}" pid="32" name="FSC#PEICFG@15.1700:ApplDocApplicant">
    <vt:lpwstr/>
  </property>
  <property fmtid="{D5CDD505-2E9C-101B-9397-08002B2CF9AE}" pid="33" name="FSC#PEICFG@15.1700:ApplDocBusinessMail">
    <vt:lpwstr/>
  </property>
  <property fmtid="{D5CDD505-2E9C-101B-9397-08002B2CF9AE}" pid="34" name="FSC#PEICFG@15.1700:ApplDocBusinessPhone">
    <vt:lpwstr/>
  </property>
  <property fmtid="{D5CDD505-2E9C-101B-9397-08002B2CF9AE}" pid="35" name="FSC#PEICFG@15.1700:ApplDocThirdPartyCosts">
    <vt:lpwstr/>
  </property>
  <property fmtid="{D5CDD505-2E9C-101B-9397-08002B2CF9AE}" pid="36" name="FSC#PEICFG@15.1700:ApplDocSponsor">
    <vt:lpwstr/>
  </property>
  <property fmtid="{D5CDD505-2E9C-101B-9397-08002B2CF9AE}" pid="37" name="FSC#PEICFG@15.1700:ApplDocSurname">
    <vt:lpwstr/>
  </property>
  <property fmtid="{D5CDD505-2E9C-101B-9397-08002B2CF9AE}" pid="38" name="FSC#PEICFG@15.1700:ApplDocFirstname">
    <vt:lpwstr/>
  </property>
  <property fmtid="{D5CDD505-2E9C-101B-9397-08002B2CF9AE}" pid="39" name="FSC#PEICFG@15.1700:ApplDocTripFrom">
    <vt:lpwstr/>
  </property>
  <property fmtid="{D5CDD505-2E9C-101B-9397-08002B2CF9AE}" pid="40" name="FSC#PEICFG@15.1700:ApplDocTripTo">
    <vt:lpwstr/>
  </property>
  <property fmtid="{D5CDD505-2E9C-101B-9397-08002B2CF9AE}" pid="41" name="FSC#PEICFG@15.1700:ApplDocTripDestination">
    <vt:lpwstr/>
  </property>
  <property fmtid="{D5CDD505-2E9C-101B-9397-08002B2CF9AE}" pid="42" name="FSC#PEICFG@15.1700:ApplDocTripCosts">
    <vt:lpwstr/>
  </property>
  <property fmtid="{D5CDD505-2E9C-101B-9397-08002B2CF9AE}" pid="43" name="FSC#PEICFG@15.1700:ApplDocIsTrainee">
    <vt:lpwstr/>
  </property>
  <property fmtid="{D5CDD505-2E9C-101B-9397-08002B2CF9AE}" pid="44" name="FSC#PEICFG@15.1700:ApplDocIsRepresentCommittee">
    <vt:lpwstr/>
  </property>
  <property fmtid="{D5CDD505-2E9C-101B-9397-08002B2CF9AE}" pid="45" name="FSC#PEICFG@15.1700:ApplDocTravelPurpose">
    <vt:lpwstr/>
  </property>
  <property fmtid="{D5CDD505-2E9C-101B-9397-08002B2CF9AE}" pid="46" name="FSC#PEICFG@15.1700:ApplDocBusinessFrom">
    <vt:lpwstr/>
  </property>
  <property fmtid="{D5CDD505-2E9C-101B-9397-08002B2CF9AE}" pid="47" name="FSC#PEICFG@15.1700:ApplDocBusinessTo">
    <vt:lpwstr/>
  </property>
  <property fmtid="{D5CDD505-2E9C-101B-9397-08002B2CF9AE}" pid="48" name="FSC#PEICFG@15.1700:ApplDocIsBusinessCar">
    <vt:lpwstr/>
  </property>
  <property fmtid="{D5CDD505-2E9C-101B-9397-08002B2CF9AE}" pid="49" name="FSC#BFARMPEICFG@15.1700:Subject">
    <vt:lpwstr/>
  </property>
  <property fmtid="{D5CDD505-2E9C-101B-9397-08002B2CF9AE}" pid="50" name="FSC#BFARMPEICFG@15.1700:AttachmentCount">
    <vt:lpwstr>0</vt:lpwstr>
  </property>
  <property fmtid="{D5CDD505-2E9C-101B-9397-08002B2CF9AE}" pid="51" name="FSC#BFARMPEICFG@15.1700:Author">
    <vt:lpwstr/>
  </property>
  <property fmtid="{D5CDD505-2E9C-101B-9397-08002B2CF9AE}" pid="52" name="FSC#BFARMPEICFG@15.1700:AuthorSurname">
    <vt:lpwstr/>
  </property>
  <property fmtid="{D5CDD505-2E9C-101B-9397-08002B2CF9AE}" pid="53" name="FSC#BFARMPEICFG@15.1700:AuthorMail">
    <vt:lpwstr/>
  </property>
  <property fmtid="{D5CDD505-2E9C-101B-9397-08002B2CF9AE}" pid="54" name="FSC#BFARMPEICFG@15.1700:AuthorCCMail">
    <vt:lpwstr/>
  </property>
  <property fmtid="{D5CDD505-2E9C-101B-9397-08002B2CF9AE}" pid="55" name="FSC#BFARMPEICFG@15.1700:AuthorPhone">
    <vt:lpwstr/>
  </property>
  <property fmtid="{D5CDD505-2E9C-101B-9397-08002B2CF9AE}" pid="56" name="FSC#BFARMPEICFG@15.1700:AuthorFax">
    <vt:lpwstr/>
  </property>
  <property fmtid="{D5CDD505-2E9C-101B-9397-08002B2CF9AE}" pid="57" name="FSC#BFARMPEICFG@15.1700:CreatedAt">
    <vt:lpwstr/>
  </property>
  <property fmtid="{D5CDD505-2E9C-101B-9397-08002B2CF9AE}" pid="58" name="FSC#BFARMPEICFG@15.1700:CreatedAtDE">
    <vt:lpwstr/>
  </property>
  <property fmtid="{D5CDD505-2E9C-101B-9397-08002B2CF9AE}" pid="59" name="FSC#BFARMPEICFG@15.1700:CreatedAtEN">
    <vt:lpwstr/>
  </property>
  <property fmtid="{D5CDD505-2E9C-101B-9397-08002B2CF9AE}" pid="60" name="FSC#BFARMPEICFG@15.1700:FirstFinalSignProcedure">
    <vt:lpwstr/>
  </property>
  <property fmtid="{D5CDD505-2E9C-101B-9397-08002B2CF9AE}" pid="61" name="FSC#BFARMPEICFG@15.1700:FirstFinalSignProcedureDate">
    <vt:lpwstr/>
  </property>
  <property fmtid="{D5CDD505-2E9C-101B-9397-08002B2CF9AE}" pid="62" name="FSC#BFARMPEICFG@15.1700:DocumentName">
    <vt:lpwstr/>
  </property>
  <property fmtid="{D5CDD505-2E9C-101B-9397-08002B2CF9AE}" pid="63" name="FSC#BFARMPEICFG@15.1700:DocumentFileReference">
    <vt:lpwstr/>
  </property>
  <property fmtid="{D5CDD505-2E9C-101B-9397-08002B2CF9AE}" pid="64" name="FSC#BFARMPEICFG@15.1700:DocumentShortDescription">
    <vt:lpwstr/>
  </property>
  <property fmtid="{D5CDD505-2E9C-101B-9397-08002B2CF9AE}" pid="65" name="FSC#BFARMPEICFG@15.1700:ProcedureName">
    <vt:lpwstr/>
  </property>
  <property fmtid="{D5CDD505-2E9C-101B-9397-08002B2CF9AE}" pid="66" name="FSC#BFARMPEICFG@15.1700:ProcedureFileReference">
    <vt:lpwstr/>
  </property>
  <property fmtid="{D5CDD505-2E9C-101B-9397-08002B2CF9AE}" pid="67" name="FSC#BFARMPEICFG@15.1700:ProcedureShortDescription">
    <vt:lpwstr/>
  </property>
  <property fmtid="{D5CDD505-2E9C-101B-9397-08002B2CF9AE}" pid="68" name="FSC#BFARMPEICFG@15.1700:OEHead">
    <vt:lpwstr/>
  </property>
  <property fmtid="{D5CDD505-2E9C-101B-9397-08002B2CF9AE}" pid="69" name="FSC#BFARMPEICFG@15.1700:OEHeadPhone">
    <vt:lpwstr/>
  </property>
  <property fmtid="{D5CDD505-2E9C-101B-9397-08002B2CF9AE}" pid="70" name="FSC#BFARMPEICFG@15.1700:OEShortName">
    <vt:lpwstr/>
  </property>
  <property fmtid="{D5CDD505-2E9C-101B-9397-08002B2CF9AE}" pid="71" name="FSC#BFARMPEICFG@15.1700:OrgBankAccSendTo">
    <vt:lpwstr/>
  </property>
  <property fmtid="{D5CDD505-2E9C-101B-9397-08002B2CF9AE}" pid="72" name="FSC#BFARMPEICFG@15.1700:OrgBankAccBank">
    <vt:lpwstr/>
  </property>
  <property fmtid="{D5CDD505-2E9C-101B-9397-08002B2CF9AE}" pid="73" name="FSC#BFARMPEICFG@15.1700:OrgBankAccID">
    <vt:lpwstr/>
  </property>
  <property fmtid="{D5CDD505-2E9C-101B-9397-08002B2CF9AE}" pid="74" name="FSC#BFARMPEICFG@15.1700:OrgBankAccAccount">
    <vt:lpwstr/>
  </property>
  <property fmtid="{D5CDD505-2E9C-101B-9397-08002B2CF9AE}" pid="75" name="FSC#BFARMPEICFG@15.1700:OrgBankAccIBAN">
    <vt:lpwstr/>
  </property>
  <property fmtid="{D5CDD505-2E9C-101B-9397-08002B2CF9AE}" pid="76" name="FSC#BFARMPEICFG@15.1700:OrgBankAccBIC">
    <vt:lpwstr/>
  </property>
  <property fmtid="{D5CDD505-2E9C-101B-9397-08002B2CF9AE}" pid="77" name="FSC#BFARMPEICFG@15.1700:OrgName">
    <vt:lpwstr/>
  </property>
  <property fmtid="{D5CDD505-2E9C-101B-9397-08002B2CF9AE}" pid="78" name="FSC#BFARMPEICFG@15.1700:OrgShortName">
    <vt:lpwstr/>
  </property>
  <property fmtid="{D5CDD505-2E9C-101B-9397-08002B2CF9AE}" pid="79" name="FSC#BFARMPEICFG@15.1700:OrgNote">
    <vt:lpwstr/>
  </property>
  <property fmtid="{D5CDD505-2E9C-101B-9397-08002B2CF9AE}" pid="80" name="FSC#BFARMPEICFG@15.1700:OrgStreet">
    <vt:lpwstr/>
  </property>
  <property fmtid="{D5CDD505-2E9C-101B-9397-08002B2CF9AE}" pid="81" name="FSC#BFARMPEICFG@15.1700:OrgZIP">
    <vt:lpwstr/>
  </property>
  <property fmtid="{D5CDD505-2E9C-101B-9397-08002B2CF9AE}" pid="82" name="FSC#BFARMPEICFG@15.1700:OrgCity">
    <vt:lpwstr/>
  </property>
  <property fmtid="{D5CDD505-2E9C-101B-9397-08002B2CF9AE}" pid="83" name="FSC#BFARMPEICFG@15.1700:OrgStreetDeliver">
    <vt:lpwstr/>
  </property>
  <property fmtid="{D5CDD505-2E9C-101B-9397-08002B2CF9AE}" pid="84" name="FSC#BFARMPEICFG@15.1700:OrgPostboxDeliver">
    <vt:lpwstr/>
  </property>
  <property fmtid="{D5CDD505-2E9C-101B-9397-08002B2CF9AE}" pid="85" name="FSC#BFARMPEICFG@15.1700:OrgZIPDeliver">
    <vt:lpwstr/>
  </property>
  <property fmtid="{D5CDD505-2E9C-101B-9397-08002B2CF9AE}" pid="86" name="FSC#BFARMPEICFG@15.1700:OrgCityDeliver">
    <vt:lpwstr/>
  </property>
  <property fmtid="{D5CDD505-2E9C-101B-9397-08002B2CF9AE}" pid="87" name="FSC#BFARMPEICFG@15.1700:OrgPhone">
    <vt:lpwstr/>
  </property>
  <property fmtid="{D5CDD505-2E9C-101B-9397-08002B2CF9AE}" pid="88" name="FSC#BFARMPEICFG@15.1700:OrgFax">
    <vt:lpwstr/>
  </property>
  <property fmtid="{D5CDD505-2E9C-101B-9397-08002B2CF9AE}" pid="89" name="FSC#BFARMPEICFG@15.1700:OrgWWW">
    <vt:lpwstr/>
  </property>
  <property fmtid="{D5CDD505-2E9C-101B-9397-08002B2CF9AE}" pid="90" name="FSC#BFARMPEICFG@15.1700:OwnerSurname">
    <vt:lpwstr/>
  </property>
  <property fmtid="{D5CDD505-2E9C-101B-9397-08002B2CF9AE}" pid="91" name="FSC#BFARMPEICFG@15.1700:OwnerMail">
    <vt:lpwstr/>
  </property>
  <property fmtid="{D5CDD505-2E9C-101B-9397-08002B2CF9AE}" pid="92" name="FSC#BFARMPEICFG@15.1700:OwnerPhone">
    <vt:lpwstr/>
  </property>
  <property fmtid="{D5CDD505-2E9C-101B-9397-08002B2CF9AE}" pid="93" name="FSC#BFARMPEICFG@15.1700:OwnerFax">
    <vt:lpwstr/>
  </property>
  <property fmtid="{D5CDD505-2E9C-101B-9397-08002B2CF9AE}" pid="94" name="FSC#BFARMPEICFG@15.1700:HandoutList">
    <vt:lpwstr/>
  </property>
  <property fmtid="{D5CDD505-2E9C-101B-9397-08002B2CF9AE}" pid="95" name="FSC#BFARMPEICFG@15.1700:ProcedureParticipants">
    <vt:lpwstr/>
  </property>
  <property fmtid="{D5CDD505-2E9C-101B-9397-08002B2CF9AE}" pid="96" name="FSC#BFARMPEICFG@15.1700:OutgoingReporters">
    <vt:lpwstr/>
  </property>
  <property fmtid="{D5CDD505-2E9C-101B-9397-08002B2CF9AE}" pid="97" name="FSC#BFARMPEICFG@15.1700:ProcResponsibleName">
    <vt:lpwstr/>
  </property>
  <property fmtid="{D5CDD505-2E9C-101B-9397-08002B2CF9AE}" pid="98" name="FSC#BFARMPEICFG@15.1700:ProcResponsiblePhone">
    <vt:lpwstr/>
  </property>
  <property fmtid="{D5CDD505-2E9C-101B-9397-08002B2CF9AE}" pid="99" name="FSC#BFARMPEICFG@15.1700:ProcResponsibleFax">
    <vt:lpwstr/>
  </property>
  <property fmtid="{D5CDD505-2E9C-101B-9397-08002B2CF9AE}" pid="100" name="FSC#BFARMPEICFG@15.1700:ProcResponsibleMail">
    <vt:lpwstr/>
  </property>
  <property fmtid="{D5CDD505-2E9C-101B-9397-08002B2CF9AE}" pid="101" name="FSC#BFARMPEICFG@15.1700:ProcResponsibleGroup">
    <vt:lpwstr/>
  </property>
  <property fmtid="{D5CDD505-2E9C-101B-9397-08002B2CF9AE}" pid="102" name="FSC#BFARMPEICFG@15.1700:IncomingDate">
    <vt:lpwstr/>
  </property>
  <property fmtid="{D5CDD505-2E9C-101B-9397-08002B2CF9AE}" pid="103" name="FSC#BFARMPEICFG@15.1700:1stAddrOrgname">
    <vt:lpwstr/>
  </property>
  <property fmtid="{D5CDD505-2E9C-101B-9397-08002B2CF9AE}" pid="104" name="FSC#BFARMPEICFG@15.1700:1stAddrOrgnameShort">
    <vt:lpwstr/>
  </property>
  <property fmtid="{D5CDD505-2E9C-101B-9397-08002B2CF9AE}" pid="105" name="FSC#BFARMPEICFG@15.1700:1stAddrOrgnameAlt">
    <vt:lpwstr/>
  </property>
  <property fmtid="{D5CDD505-2E9C-101B-9397-08002B2CF9AE}" pid="106" name="FSC#BFARMPEICFG@15.1700:1stAddrSalutation">
    <vt:lpwstr/>
  </property>
  <property fmtid="{D5CDD505-2E9C-101B-9397-08002B2CF9AE}" pid="107" name="FSC#BFARMPEICFG@15.1700:1stAddrTitle">
    <vt:lpwstr/>
  </property>
  <property fmtid="{D5CDD505-2E9C-101B-9397-08002B2CF9AE}" pid="108" name="FSC#BFARMPEICFG@15.1700:1stAddrFirstname">
    <vt:lpwstr/>
  </property>
  <property fmtid="{D5CDD505-2E9C-101B-9397-08002B2CF9AE}" pid="109" name="FSC#BFARMPEICFG@15.1700:1stAddrMiddlename">
    <vt:lpwstr/>
  </property>
  <property fmtid="{D5CDD505-2E9C-101B-9397-08002B2CF9AE}" pid="110" name="FSC#BFARMPEICFG@15.1700:1stAddrName">
    <vt:lpwstr/>
  </property>
  <property fmtid="{D5CDD505-2E9C-101B-9397-08002B2CF9AE}" pid="111" name="FSC#BFARMPEICFG@15.1700:1stAddrDivision">
    <vt:lpwstr/>
  </property>
  <property fmtid="{D5CDD505-2E9C-101B-9397-08002B2CF9AE}" pid="112" name="FSC#BFARMPEICFG@15.1700:1stAddrStreet">
    <vt:lpwstr/>
  </property>
  <property fmtid="{D5CDD505-2E9C-101B-9397-08002B2CF9AE}" pid="113" name="FSC#BFARMPEICFG@15.1700:1stAddrZIPCode">
    <vt:lpwstr/>
  </property>
  <property fmtid="{D5CDD505-2E9C-101B-9397-08002B2CF9AE}" pid="114" name="FSC#BFARMPEICFG@15.1700:1stAddrCity">
    <vt:lpwstr/>
  </property>
  <property fmtid="{D5CDD505-2E9C-101B-9397-08002B2CF9AE}" pid="115" name="FSC#BFARMPEICFG@15.1700:1stAddrState">
    <vt:lpwstr/>
  </property>
  <property fmtid="{D5CDD505-2E9C-101B-9397-08002B2CF9AE}" pid="116" name="FSC#BFARMPEICFG@15.1700:1stAddrCountry">
    <vt:lpwstr/>
  </property>
  <property fmtid="{D5CDD505-2E9C-101B-9397-08002B2CF9AE}" pid="117" name="FSC#BFARMPEICFG@15.1700:1stAddrEmail">
    <vt:lpwstr/>
  </property>
  <property fmtid="{D5CDD505-2E9C-101B-9397-08002B2CF9AE}" pid="118" name="FSC#BFARMPEICFG@15.1700:1stAddrAddition">
    <vt:lpwstr/>
  </property>
  <property fmtid="{D5CDD505-2E9C-101B-9397-08002B2CF9AE}" pid="119" name="FSC#BFARMPEICFG@15.1700:1stAddrNote">
    <vt:lpwstr/>
  </property>
  <property fmtid="{D5CDD505-2E9C-101B-9397-08002B2CF9AE}" pid="120" name="FSC#BFARMPEICFG@15.1700:ForeignNrFirstIncoming">
    <vt:lpwstr/>
  </property>
  <property fmtid="{D5CDD505-2E9C-101B-9397-08002B2CF9AE}" pid="121" name="FSC#BFARMPEICFG@15.1700:AddrOrgName">
    <vt:lpwstr/>
  </property>
  <property fmtid="{D5CDD505-2E9C-101B-9397-08002B2CF9AE}" pid="122" name="FSC#BFARMPEICFG@15.1700:AddrSuffix1">
    <vt:lpwstr/>
  </property>
  <property fmtid="{D5CDD505-2E9C-101B-9397-08002B2CF9AE}" pid="123" name="FSC#BFARMPEICFG@15.1700:AddrSuffix2">
    <vt:lpwstr/>
  </property>
  <property fmtid="{D5CDD505-2E9C-101B-9397-08002B2CF9AE}" pid="124" name="FSC#BFARMPEICFG@15.1700:AddrOrgShortName">
    <vt:lpwstr/>
  </property>
  <property fmtid="{D5CDD505-2E9C-101B-9397-08002B2CF9AE}" pid="125" name="FSC#BFARMPEICFG@15.1700:AddrAlternativeDesc">
    <vt:lpwstr/>
  </property>
  <property fmtid="{D5CDD505-2E9C-101B-9397-08002B2CF9AE}" pid="126" name="FSC#BFARMPEICFG@15.1700:AddrSalutation">
    <vt:lpwstr/>
  </property>
  <property fmtid="{D5CDD505-2E9C-101B-9397-08002B2CF9AE}" pid="127" name="FSC#BFARMPEICFG@15.1700:AddrTitle">
    <vt:lpwstr/>
  </property>
  <property fmtid="{D5CDD505-2E9C-101B-9397-08002B2CF9AE}" pid="128" name="FSC#BFARMPEICFG@15.1700:AddrFirstname">
    <vt:lpwstr/>
  </property>
  <property fmtid="{D5CDD505-2E9C-101B-9397-08002B2CF9AE}" pid="129" name="FSC#BFARMPEICFG@15.1700:AddrMiddleName">
    <vt:lpwstr/>
  </property>
  <property fmtid="{D5CDD505-2E9C-101B-9397-08002B2CF9AE}" pid="130" name="FSC#BFARMPEICFG@15.1700:AddrName">
    <vt:lpwstr/>
  </property>
  <property fmtid="{D5CDD505-2E9C-101B-9397-08002B2CF9AE}" pid="131" name="FSC#BFARMPEICFG@15.1700:AddrBusinessUnit">
    <vt:lpwstr/>
  </property>
  <property fmtid="{D5CDD505-2E9C-101B-9397-08002B2CF9AE}" pid="132" name="FSC#BFARMPEICFG@15.1700:AddrStreet">
    <vt:lpwstr/>
  </property>
  <property fmtid="{D5CDD505-2E9C-101B-9397-08002B2CF9AE}" pid="133" name="FSC#BFARMPEICFG@15.1700:AddrZipCode">
    <vt:lpwstr/>
  </property>
  <property fmtid="{D5CDD505-2E9C-101B-9397-08002B2CF9AE}" pid="134" name="FSC#BFARMPEICFG@15.1700:AddrCity">
    <vt:lpwstr/>
  </property>
  <property fmtid="{D5CDD505-2E9C-101B-9397-08002B2CF9AE}" pid="135" name="FSC#BFARMPEICFG@15.1700:AddrState">
    <vt:lpwstr/>
  </property>
  <property fmtid="{D5CDD505-2E9C-101B-9397-08002B2CF9AE}" pid="136" name="FSC#BFARMPEICFG@15.1700:AddrCountry">
    <vt:lpwstr/>
  </property>
  <property fmtid="{D5CDD505-2E9C-101B-9397-08002B2CF9AE}" pid="137" name="FSC#BFARMPEICFG@15.1700:AddrEMail">
    <vt:lpwstr/>
  </property>
  <property fmtid="{D5CDD505-2E9C-101B-9397-08002B2CF9AE}" pid="138" name="FSC#BFARMPEICFG@15.1700:AddrAddition">
    <vt:lpwstr/>
  </property>
  <property fmtid="{D5CDD505-2E9C-101B-9397-08002B2CF9AE}" pid="139" name="FSC#BFARMPEICFG@15.1700:AddrNote">
    <vt:lpwstr/>
  </property>
  <property fmtid="{D5CDD505-2E9C-101B-9397-08002B2CF9AE}" pid="140" name="FSC#BFARMPEICFG@15.1700:AddrCat">
    <vt:lpwstr/>
  </property>
  <property fmtid="{D5CDD505-2E9C-101B-9397-08002B2CF9AE}" pid="141" name="FSC#BFARMPEICFG@15.1700:AddrTransMedia">
    <vt:lpwstr/>
  </property>
  <property fmtid="{D5CDD505-2E9C-101B-9397-08002B2CF9AE}" pid="142" name="FSC#BFARMPEICFG@15.1700:AddrUserAbbreviation">
    <vt:lpwstr/>
  </property>
  <property fmtid="{D5CDD505-2E9C-101B-9397-08002B2CF9AE}" pid="143" name="FSC#BFARMPEICFG@15.1700:AddrGender">
    <vt:lpwstr/>
  </property>
  <property fmtid="{D5CDD505-2E9C-101B-9397-08002B2CF9AE}" pid="144" name="FSC#BFARMPEICFG@15.1700:AddrBirthDate">
    <vt:lpwstr/>
  </property>
  <property fmtid="{D5CDD505-2E9C-101B-9397-08002B2CF9AE}" pid="145" name="FSC#BFARMPEICFG@15.1700:AddrDispClass">
    <vt:lpwstr/>
  </property>
  <property fmtid="{D5CDD505-2E9C-101B-9397-08002B2CF9AE}" pid="146" name="FSC#BFARMPEICFG@15.1700:AddrCopyText">
    <vt:lpwstr/>
  </property>
  <property fmtid="{D5CDD505-2E9C-101B-9397-08002B2CF9AE}" pid="147" name="FSC#COOELAK@1.1001:Subject">
    <vt:lpwstr/>
  </property>
  <property fmtid="{D5CDD505-2E9C-101B-9397-08002B2CF9AE}" pid="148" name="FSC#COOELAK@1.1001:FileReference">
    <vt:lpwstr/>
  </property>
  <property fmtid="{D5CDD505-2E9C-101B-9397-08002B2CF9AE}" pid="149" name="FSC#COOELAK@1.1001:FileRefYear">
    <vt:lpwstr/>
  </property>
  <property fmtid="{D5CDD505-2E9C-101B-9397-08002B2CF9AE}" pid="150" name="FSC#COOELAK@1.1001:FileRefOrdinal">
    <vt:lpwstr/>
  </property>
  <property fmtid="{D5CDD505-2E9C-101B-9397-08002B2CF9AE}" pid="151" name="FSC#COOELAK@1.1001:FileRefOU">
    <vt:lpwstr/>
  </property>
  <property fmtid="{D5CDD505-2E9C-101B-9397-08002B2CF9AE}" pid="152" name="FSC#COOELAK@1.1001:Organization">
    <vt:lpwstr/>
  </property>
  <property fmtid="{D5CDD505-2E9C-101B-9397-08002B2CF9AE}" pid="153" name="FSC#COOELAK@1.1001:Owner">
    <vt:lpwstr>Lüttkopf, Dirk</vt:lpwstr>
  </property>
  <property fmtid="{D5CDD505-2E9C-101B-9397-08002B2CF9AE}" pid="154" name="FSC#COOELAK@1.1001:OwnerExtension">
    <vt:lpwstr>+49 6103 77 2076</vt:lpwstr>
  </property>
  <property fmtid="{D5CDD505-2E9C-101B-9397-08002B2CF9AE}" pid="155" name="FSC#COOELAK@1.1001:OwnerFaxExtension">
    <vt:lpwstr/>
  </property>
  <property fmtid="{D5CDD505-2E9C-101B-9397-08002B2CF9AE}" pid="156" name="FSC#COOELAK@1.1001:DispatchedBy">
    <vt:lpwstr/>
  </property>
  <property fmtid="{D5CDD505-2E9C-101B-9397-08002B2CF9AE}" pid="157" name="FSC#COOELAK@1.1001:DispatchedAt">
    <vt:lpwstr/>
  </property>
  <property fmtid="{D5CDD505-2E9C-101B-9397-08002B2CF9AE}" pid="158" name="FSC#COOELAK@1.1001:ApprovedBy">
    <vt:lpwstr/>
  </property>
  <property fmtid="{D5CDD505-2E9C-101B-9397-08002B2CF9AE}" pid="159" name="FSC#COOELAK@1.1001:ApprovedAt">
    <vt:lpwstr/>
  </property>
  <property fmtid="{D5CDD505-2E9C-101B-9397-08002B2CF9AE}" pid="160" name="FSC#COOELAK@1.1001:Department">
    <vt:lpwstr>IMG 2 (Fachgebiet IMG 2 - Bewertung Qualität Immunologie)</vt:lpwstr>
  </property>
  <property fmtid="{D5CDD505-2E9C-101B-9397-08002B2CF9AE}" pid="161" name="FSC#COOELAK@1.1001:CreatedAt">
    <vt:lpwstr>26.02.2024</vt:lpwstr>
  </property>
  <property fmtid="{D5CDD505-2E9C-101B-9397-08002B2CF9AE}" pid="162" name="FSC#COOELAK@1.1001:OU">
    <vt:lpwstr>IMG (Abteilung IMG - Immunologie)</vt:lpwstr>
  </property>
  <property fmtid="{D5CDD505-2E9C-101B-9397-08002B2CF9AE}" pid="163" name="FSC#COOELAK@1.1001:Priority">
    <vt:lpwstr> ()</vt:lpwstr>
  </property>
  <property fmtid="{D5CDD505-2E9C-101B-9397-08002B2CF9AE}" pid="164" name="FSC#COOELAK@1.1001:ObjBarCode">
    <vt:lpwstr>*COO.2220.100.8.4674302*</vt:lpwstr>
  </property>
  <property fmtid="{D5CDD505-2E9C-101B-9397-08002B2CF9AE}" pid="165" name="FSC#COOELAK@1.1001:RefBarCode">
    <vt:lpwstr/>
  </property>
  <property fmtid="{D5CDD505-2E9C-101B-9397-08002B2CF9AE}" pid="166" name="FSC#COOELAK@1.1001:FileRefBarCode">
    <vt:lpwstr>**</vt:lpwstr>
  </property>
  <property fmtid="{D5CDD505-2E9C-101B-9397-08002B2CF9AE}" pid="167" name="FSC#COOELAK@1.1001:ExternalRef">
    <vt:lpwstr/>
  </property>
  <property fmtid="{D5CDD505-2E9C-101B-9397-08002B2CF9AE}" pid="168" name="FSC#COOELAK@1.1001:IncomingNumber">
    <vt:lpwstr/>
  </property>
  <property fmtid="{D5CDD505-2E9C-101B-9397-08002B2CF9AE}" pid="169" name="FSC#COOELAK@1.1001:IncomingSubject">
    <vt:lpwstr/>
  </property>
  <property fmtid="{D5CDD505-2E9C-101B-9397-08002B2CF9AE}" pid="170" name="FSC#COOELAK@1.1001:ProcessResponsible">
    <vt:lpwstr/>
  </property>
  <property fmtid="{D5CDD505-2E9C-101B-9397-08002B2CF9AE}" pid="171" name="FSC#COOELAK@1.1001:ProcessResponsiblePhone">
    <vt:lpwstr/>
  </property>
  <property fmtid="{D5CDD505-2E9C-101B-9397-08002B2CF9AE}" pid="172" name="FSC#COOELAK@1.1001:ProcessResponsibleMail">
    <vt:lpwstr/>
  </property>
  <property fmtid="{D5CDD505-2E9C-101B-9397-08002B2CF9AE}" pid="173" name="FSC#COOELAK@1.1001:ProcessResponsibleFax">
    <vt:lpwstr/>
  </property>
  <property fmtid="{D5CDD505-2E9C-101B-9397-08002B2CF9AE}" pid="174" name="FSC#COOELAK@1.1001:ApproverFirstName">
    <vt:lpwstr/>
  </property>
  <property fmtid="{D5CDD505-2E9C-101B-9397-08002B2CF9AE}" pid="175" name="FSC#COOELAK@1.1001:ApproverSurName">
    <vt:lpwstr/>
  </property>
  <property fmtid="{D5CDD505-2E9C-101B-9397-08002B2CF9AE}" pid="176" name="FSC#COOELAK@1.1001:ApproverTitle">
    <vt:lpwstr/>
  </property>
  <property fmtid="{D5CDD505-2E9C-101B-9397-08002B2CF9AE}" pid="177" name="FSC#COOELAK@1.1001:ExternalDate">
    <vt:lpwstr/>
  </property>
  <property fmtid="{D5CDD505-2E9C-101B-9397-08002B2CF9AE}" pid="178" name="FSC#COOELAK@1.1001:SettlementApprovedAt">
    <vt:lpwstr/>
  </property>
  <property fmtid="{D5CDD505-2E9C-101B-9397-08002B2CF9AE}" pid="179" name="FSC#COOELAK@1.1001:BaseNumber">
    <vt:lpwstr/>
  </property>
  <property fmtid="{D5CDD505-2E9C-101B-9397-08002B2CF9AE}" pid="180" name="FSC#COOELAK@1.1001:CurrentUserRolePos">
    <vt:lpwstr>Bearbeiter/in</vt:lpwstr>
  </property>
  <property fmtid="{D5CDD505-2E9C-101B-9397-08002B2CF9AE}" pid="181" name="FSC#COOELAK@1.1001:CurrentUserEmail">
    <vt:lpwstr>Dirk.Luettkopf@pei.de</vt:lpwstr>
  </property>
  <property fmtid="{D5CDD505-2E9C-101B-9397-08002B2CF9AE}" pid="182" name="FSC#ELAKGOV@1.1001:PersonalSubjGender">
    <vt:lpwstr/>
  </property>
  <property fmtid="{D5CDD505-2E9C-101B-9397-08002B2CF9AE}" pid="183" name="FSC#ELAKGOV@1.1001:PersonalSubjFirstName">
    <vt:lpwstr/>
  </property>
  <property fmtid="{D5CDD505-2E9C-101B-9397-08002B2CF9AE}" pid="184" name="FSC#ELAKGOV@1.1001:PersonalSubjSurName">
    <vt:lpwstr/>
  </property>
  <property fmtid="{D5CDD505-2E9C-101B-9397-08002B2CF9AE}" pid="185" name="FSC#ELAKGOV@1.1001:PersonalSubjSalutation">
    <vt:lpwstr/>
  </property>
  <property fmtid="{D5CDD505-2E9C-101B-9397-08002B2CF9AE}" pid="186" name="FSC#ELAKGOV@1.1001:PersonalSubjAddress">
    <vt:lpwstr/>
  </property>
  <property fmtid="{D5CDD505-2E9C-101B-9397-08002B2CF9AE}" pid="187" name="FSC#ATSTATECFG@1.1001:Office">
    <vt:lpwstr/>
  </property>
  <property fmtid="{D5CDD505-2E9C-101B-9397-08002B2CF9AE}" pid="188" name="FSC#ATSTATECFG@1.1001:Agent">
    <vt:lpwstr/>
  </property>
  <property fmtid="{D5CDD505-2E9C-101B-9397-08002B2CF9AE}" pid="189" name="FSC#ATSTATECFG@1.1001:AgentPhone">
    <vt:lpwstr/>
  </property>
  <property fmtid="{D5CDD505-2E9C-101B-9397-08002B2CF9AE}" pid="190" name="FSC#ATSTATECFG@1.1001:DepartmentFax">
    <vt:lpwstr/>
  </property>
  <property fmtid="{D5CDD505-2E9C-101B-9397-08002B2CF9AE}" pid="191" name="FSC#ATSTATECFG@1.1001:DepartmentEmail">
    <vt:lpwstr/>
  </property>
  <property fmtid="{D5CDD505-2E9C-101B-9397-08002B2CF9AE}" pid="192" name="FSC#ATSTATECFG@1.1001:SubfileDate">
    <vt:lpwstr/>
  </property>
  <property fmtid="{D5CDD505-2E9C-101B-9397-08002B2CF9AE}" pid="193" name="FSC#ATSTATECFG@1.1001:SubfileSubject">
    <vt:lpwstr/>
  </property>
  <property fmtid="{D5CDD505-2E9C-101B-9397-08002B2CF9AE}" pid="194" name="FSC#ATSTATECFG@1.1001:DepartmentZipCode">
    <vt:lpwstr/>
  </property>
  <property fmtid="{D5CDD505-2E9C-101B-9397-08002B2CF9AE}" pid="195" name="FSC#ATSTATECFG@1.1001:DepartmentCountry">
    <vt:lpwstr/>
  </property>
  <property fmtid="{D5CDD505-2E9C-101B-9397-08002B2CF9AE}" pid="196" name="FSC#ATSTATECFG@1.1001:DepartmentCity">
    <vt:lpwstr/>
  </property>
  <property fmtid="{D5CDD505-2E9C-101B-9397-08002B2CF9AE}" pid="197" name="FSC#ATSTATECFG@1.1001:DepartmentStreet">
    <vt:lpwstr/>
  </property>
  <property fmtid="{D5CDD505-2E9C-101B-9397-08002B2CF9AE}" pid="198" name="FSC#ATSTATECFG@1.1001:DepartmentDVR">
    <vt:lpwstr/>
  </property>
  <property fmtid="{D5CDD505-2E9C-101B-9397-08002B2CF9AE}" pid="199" name="FSC#ATSTATECFG@1.1001:DepartmentUID">
    <vt:lpwstr/>
  </property>
  <property fmtid="{D5CDD505-2E9C-101B-9397-08002B2CF9AE}" pid="200" name="FSC#ATSTATECFG@1.1001:SubfileReference">
    <vt:lpwstr/>
  </property>
  <property fmtid="{D5CDD505-2E9C-101B-9397-08002B2CF9AE}" pid="201" name="FSC#ATSTATECFG@1.1001:Clause">
    <vt:lpwstr/>
  </property>
  <property fmtid="{D5CDD505-2E9C-101B-9397-08002B2CF9AE}" pid="202" name="FSC#ATSTATECFG@1.1001:ApprovedSignature">
    <vt:lpwstr/>
  </property>
  <property fmtid="{D5CDD505-2E9C-101B-9397-08002B2CF9AE}" pid="203" name="FSC#ATSTATECFG@1.1001:BankAccount">
    <vt:lpwstr/>
  </property>
  <property fmtid="{D5CDD505-2E9C-101B-9397-08002B2CF9AE}" pid="204" name="FSC#ATSTATECFG@1.1001:BankAccountOwner">
    <vt:lpwstr/>
  </property>
  <property fmtid="{D5CDD505-2E9C-101B-9397-08002B2CF9AE}" pid="205" name="FSC#ATSTATECFG@1.1001:BankInstitute">
    <vt:lpwstr/>
  </property>
  <property fmtid="{D5CDD505-2E9C-101B-9397-08002B2CF9AE}" pid="206" name="FSC#ATSTATECFG@1.1001:BankAccountID">
    <vt:lpwstr/>
  </property>
  <property fmtid="{D5CDD505-2E9C-101B-9397-08002B2CF9AE}" pid="207" name="FSC#ATSTATECFG@1.1001:BankAccountIBAN">
    <vt:lpwstr/>
  </property>
  <property fmtid="{D5CDD505-2E9C-101B-9397-08002B2CF9AE}" pid="208" name="FSC#ATSTATECFG@1.1001:BankAccountBIC">
    <vt:lpwstr/>
  </property>
  <property fmtid="{D5CDD505-2E9C-101B-9397-08002B2CF9AE}" pid="209" name="FSC#ATSTATECFG@1.1001:BankName">
    <vt:lpwstr/>
  </property>
  <property fmtid="{D5CDD505-2E9C-101B-9397-08002B2CF9AE}" pid="210" name="FSC#CCAPRECONFIG@15.1001:AddrAnrede">
    <vt:lpwstr/>
  </property>
  <property fmtid="{D5CDD505-2E9C-101B-9397-08002B2CF9AE}" pid="211" name="FSC#CCAPRECONFIG@15.1001:AddrTitel">
    <vt:lpwstr/>
  </property>
  <property fmtid="{D5CDD505-2E9C-101B-9397-08002B2CF9AE}" pid="212" name="FSC#CCAPRECONFIG@15.1001:AddrNachgestellter_Titel">
    <vt:lpwstr/>
  </property>
  <property fmtid="{D5CDD505-2E9C-101B-9397-08002B2CF9AE}" pid="213" name="FSC#CCAPRECONFIG@15.1001:AddrVorname">
    <vt:lpwstr/>
  </property>
  <property fmtid="{D5CDD505-2E9C-101B-9397-08002B2CF9AE}" pid="214" name="FSC#CCAPRECONFIG@15.1001:AddrNachname">
    <vt:lpwstr/>
  </property>
  <property fmtid="{D5CDD505-2E9C-101B-9397-08002B2CF9AE}" pid="215" name="FSC#CCAPRECONFIG@15.1001:AddrzH">
    <vt:lpwstr/>
  </property>
  <property fmtid="{D5CDD505-2E9C-101B-9397-08002B2CF9AE}" pid="216" name="FSC#CCAPRECONFIG@15.1001:AddrGeschlecht">
    <vt:lpwstr/>
  </property>
  <property fmtid="{D5CDD505-2E9C-101B-9397-08002B2CF9AE}" pid="217" name="FSC#CCAPRECONFIG@15.1001:AddrStrasse">
    <vt:lpwstr/>
  </property>
  <property fmtid="{D5CDD505-2E9C-101B-9397-08002B2CF9AE}" pid="218" name="FSC#CCAPRECONFIG@15.1001:AddrHausnummer">
    <vt:lpwstr/>
  </property>
  <property fmtid="{D5CDD505-2E9C-101B-9397-08002B2CF9AE}" pid="219" name="FSC#CCAPRECONFIG@15.1001:AddrStiege">
    <vt:lpwstr/>
  </property>
  <property fmtid="{D5CDD505-2E9C-101B-9397-08002B2CF9AE}" pid="220" name="FSC#CCAPRECONFIG@15.1001:AddrStock">
    <vt:lpwstr/>
  </property>
  <property fmtid="{D5CDD505-2E9C-101B-9397-08002B2CF9AE}" pid="221" name="FSC#CCAPRECONFIG@15.1001:AddrTuer">
    <vt:lpwstr/>
  </property>
  <property fmtid="{D5CDD505-2E9C-101B-9397-08002B2CF9AE}" pid="222" name="FSC#CCAPRECONFIG@15.1001:AddrPostfach">
    <vt:lpwstr/>
  </property>
  <property fmtid="{D5CDD505-2E9C-101B-9397-08002B2CF9AE}" pid="223" name="FSC#CCAPRECONFIG@15.1001:AddrPostleitzahl">
    <vt:lpwstr/>
  </property>
  <property fmtid="{D5CDD505-2E9C-101B-9397-08002B2CF9AE}" pid="224" name="FSC#CCAPRECONFIG@15.1001:AddrOrt">
    <vt:lpwstr/>
  </property>
  <property fmtid="{D5CDD505-2E9C-101B-9397-08002B2CF9AE}" pid="225" name="FSC#CCAPRECONFIG@15.1001:AddrLand">
    <vt:lpwstr/>
  </property>
  <property fmtid="{D5CDD505-2E9C-101B-9397-08002B2CF9AE}" pid="226" name="FSC#CCAPRECONFIG@15.1001:AddrEmail">
    <vt:lpwstr/>
  </property>
  <property fmtid="{D5CDD505-2E9C-101B-9397-08002B2CF9AE}" pid="227" name="FSC#CCAPRECONFIG@15.1001:AddrAdresse">
    <vt:lpwstr/>
  </property>
  <property fmtid="{D5CDD505-2E9C-101B-9397-08002B2CF9AE}" pid="228" name="FSC#CCAPRECONFIG@15.1001:AddrFax">
    <vt:lpwstr/>
  </property>
  <property fmtid="{D5CDD505-2E9C-101B-9397-08002B2CF9AE}" pid="229" name="FSC#CCAPRECONFIG@15.1001:AddrOrganisationsname">
    <vt:lpwstr/>
  </property>
  <property fmtid="{D5CDD505-2E9C-101B-9397-08002B2CF9AE}" pid="230" name="FSC#CCAPRECONFIG@15.1001:AddrOrganisationskurzname">
    <vt:lpwstr/>
  </property>
  <property fmtid="{D5CDD505-2E9C-101B-9397-08002B2CF9AE}" pid="231" name="FSC#CCAPRECONFIG@15.1001:AddrAbschriftsbemerkung">
    <vt:lpwstr/>
  </property>
  <property fmtid="{D5CDD505-2E9C-101B-9397-08002B2CF9AE}" pid="232" name="FSC#CCAPRECONFIG@15.1001:AddrName_Zeile_2">
    <vt:lpwstr/>
  </property>
  <property fmtid="{D5CDD505-2E9C-101B-9397-08002B2CF9AE}" pid="233" name="FSC#CCAPRECONFIG@15.1001:AddrName_Zeile_3">
    <vt:lpwstr/>
  </property>
  <property fmtid="{D5CDD505-2E9C-101B-9397-08002B2CF9AE}" pid="234" name="FSC#CCAPRECONFIG@15.1001:AddrPostalischeAdresse">
    <vt:lpwstr/>
  </property>
  <property fmtid="{D5CDD505-2E9C-101B-9397-08002B2CF9AE}" pid="235" name="FSC#CCAPRECONFIG@15.1001:AddrKategorie">
    <vt:lpwstr/>
  </property>
  <property fmtid="{D5CDD505-2E9C-101B-9397-08002B2CF9AE}" pid="236" name="FSC#CCAPRECONFIG@15.1001:AddrRechtsform">
    <vt:lpwstr/>
  </property>
  <property fmtid="{D5CDD505-2E9C-101B-9397-08002B2CF9AE}" pid="237" name="FSC#CCAPRECONFIG@15.1001:AddrZiel">
    <vt:lpwstr/>
  </property>
  <property fmtid="{D5CDD505-2E9C-101B-9397-08002B2CF9AE}" pid="238" name="FSC#CCAPRECONFIG@15.1001:AddrBerufstitel">
    <vt:lpwstr/>
  </property>
  <property fmtid="{D5CDD505-2E9C-101B-9397-08002B2CF9AE}" pid="239" name="FSC#CCAPRECONFIG@15.1001:AddrFunktionsbezeichnung">
    <vt:lpwstr/>
  </property>
  <property fmtid="{D5CDD505-2E9C-101B-9397-08002B2CF9AE}" pid="240" name="FSC#CCAPRECONFIG@15.1001:AddrTelefonnummer">
    <vt:lpwstr/>
  </property>
  <property fmtid="{D5CDD505-2E9C-101B-9397-08002B2CF9AE}" pid="241" name="FSC#CCAPRECONFIG@15.1001:AddrGeburtstag">
    <vt:lpwstr/>
  </property>
  <property fmtid="{D5CDD505-2E9C-101B-9397-08002B2CF9AE}" pid="242" name="FSC#CCAPRECONFIG@15.1001:AddrFirmenbuchnummer">
    <vt:lpwstr/>
  </property>
  <property fmtid="{D5CDD505-2E9C-101B-9397-08002B2CF9AE}" pid="243" name="FSC#CCAPRECONFIG@15.1001:AddrSozialversicherungsnummer">
    <vt:lpwstr/>
  </property>
  <property fmtid="{D5CDD505-2E9C-101B-9397-08002B2CF9AE}" pid="244" name="FSC#CCAPRECONFIG@15.1001:Additional1">
    <vt:lpwstr/>
  </property>
  <property fmtid="{D5CDD505-2E9C-101B-9397-08002B2CF9AE}" pid="245" name="FSC#CCAPRECONFIG@15.1001:Additional2">
    <vt:lpwstr/>
  </property>
  <property fmtid="{D5CDD505-2E9C-101B-9397-08002B2CF9AE}" pid="246" name="FSC#CCAPRECONFIG@15.1001:Additional3">
    <vt:lpwstr/>
  </property>
  <property fmtid="{D5CDD505-2E9C-101B-9397-08002B2CF9AE}" pid="247" name="FSC#CCAPRECONFIG@15.1001:Additional4">
    <vt:lpwstr/>
  </property>
  <property fmtid="{D5CDD505-2E9C-101B-9397-08002B2CF9AE}" pid="248" name="FSC#CCAPRECONFIG@15.1001:Additional5">
    <vt:lpwstr/>
  </property>
  <property fmtid="{D5CDD505-2E9C-101B-9397-08002B2CF9AE}" pid="249" name="FSC#FSCGOVDE@1.1001:FileRefOUEmail">
    <vt:lpwstr/>
  </property>
  <property fmtid="{D5CDD505-2E9C-101B-9397-08002B2CF9AE}" pid="250" name="FSC#FSCGOVDE@1.1001:ProcedureReference">
    <vt:lpwstr/>
  </property>
  <property fmtid="{D5CDD505-2E9C-101B-9397-08002B2CF9AE}" pid="251" name="FSC#FSCGOVDE@1.1001:FileSubject">
    <vt:lpwstr/>
  </property>
  <property fmtid="{D5CDD505-2E9C-101B-9397-08002B2CF9AE}" pid="252" name="FSC#FSCGOVDE@1.1001:ProcedureSubject">
    <vt:lpwstr/>
  </property>
  <property fmtid="{D5CDD505-2E9C-101B-9397-08002B2CF9AE}" pid="253" name="FSC#FSCGOVDE@1.1001:SignFinalVersionBy">
    <vt:lpwstr/>
  </property>
  <property fmtid="{D5CDD505-2E9C-101B-9397-08002B2CF9AE}" pid="254" name="FSC#FSCGOVDE@1.1001:SignFinalVersionAt">
    <vt:lpwstr/>
  </property>
  <property fmtid="{D5CDD505-2E9C-101B-9397-08002B2CF9AE}" pid="255" name="FSC#FSCGOVDE@1.1001:ProcedureRefBarCode">
    <vt:lpwstr/>
  </property>
  <property fmtid="{D5CDD505-2E9C-101B-9397-08002B2CF9AE}" pid="256" name="FSC#FSCGOVDE@1.1001:FileAddSubj">
    <vt:lpwstr/>
  </property>
  <property fmtid="{D5CDD505-2E9C-101B-9397-08002B2CF9AE}" pid="257" name="FSC#FSCGOVDE@1.1001:DocumentSubj">
    <vt:lpwstr/>
  </property>
  <property fmtid="{D5CDD505-2E9C-101B-9397-08002B2CF9AE}" pid="258" name="FSC#FSCGOVDE@1.1001:FileRel">
    <vt:lpwstr/>
  </property>
  <property fmtid="{D5CDD505-2E9C-101B-9397-08002B2CF9AE}" pid="259" name="FSC#COOSYSTEM@1.1:Container">
    <vt:lpwstr>COO.2220.100.8.4674302</vt:lpwstr>
  </property>
  <property fmtid="{D5CDD505-2E9C-101B-9397-08002B2CF9AE}" pid="260" name="FSC#FSCFOLIO@1.1001:docpropproject">
    <vt:lpwstr/>
  </property>
  <property fmtid="{D5CDD505-2E9C-101B-9397-08002B2CF9AE}" pid="261" name="FSC#LOCAL@2220.100:LastSignProcedureOE">
    <vt:lpwstr/>
  </property>
  <property fmtid="{D5CDD505-2E9C-101B-9397-08002B2CF9AE}" pid="262" name="FSC#LOCAL@2220.100:LastSignProcedure">
    <vt:lpwstr/>
  </property>
  <property fmtid="{D5CDD505-2E9C-101B-9397-08002B2CF9AE}" pid="263" name="FSC#LOCAL@2220.100:ApplicationTravellerTitle">
    <vt:lpwstr/>
  </property>
  <property fmtid="{D5CDD505-2E9C-101B-9397-08002B2CF9AE}" pid="264" name="FSC#LOCAL@2220.100:DeliveryDateFirstIncoming">
    <vt:lpwstr/>
  </property>
  <property fmtid="{D5CDD505-2E9C-101B-9397-08002B2CF9AE}" pid="265" name="FSC#LOCAL@2220.100:tripfrom">
    <vt:lpwstr/>
  </property>
  <property fmtid="{D5CDD505-2E9C-101B-9397-08002B2CF9AE}" pid="266" name="FSC#LOCAL@2220.100:tripto">
    <vt:lpwstr/>
  </property>
  <property fmtid="{D5CDD505-2E9C-101B-9397-08002B2CF9AE}" pid="267" name="FSC#LOCAL@2220.100:applbusinessfrom">
    <vt:lpwstr/>
  </property>
  <property fmtid="{D5CDD505-2E9C-101B-9397-08002B2CF9AE}" pid="268" name="FSC#LOCAL@2220.100:applbusinessto">
    <vt:lpwstr/>
  </property>
  <property fmtid="{D5CDD505-2E9C-101B-9397-08002B2CF9AE}" pid="269" name="FSC#LOCAL@2220.100:trainee_is_handicaped">
    <vt:lpwstr/>
  </property>
  <property fmtid="{D5CDD505-2E9C-101B-9397-08002B2CF9AE}" pid="270" name="FSC#LOCAL@2220.100:trainingisinhouse">
    <vt:lpwstr/>
  </property>
  <property fmtid="{D5CDD505-2E9C-101B-9397-08002B2CF9AE}" pid="271" name="FSC#LOCAL@2220.100:applistrainingthirdparty">
    <vt:lpwstr/>
  </property>
  <property fmtid="{D5CDD505-2E9C-101B-9397-08002B2CF9AE}" pid="272" name="FSC#LOCAL@2220.100:applistraininggov">
    <vt:lpwstr/>
  </property>
  <property fmtid="{D5CDD505-2E9C-101B-9397-08002B2CF9AE}" pid="273" name="FSC#LOCAL@2220.100:ApplDocTrainingID">
    <vt:lpwstr/>
  </property>
  <property fmtid="{D5CDD505-2E9C-101B-9397-08002B2CF9AE}" pid="274" name="FSC#LOCAL@2220.100:ApplDocTrainingcost">
    <vt:lpwstr/>
  </property>
  <property fmtid="{D5CDD505-2E9C-101B-9397-08002B2CF9AE}" pid="275" name="FSC#LOCAL@2220.100:employee_new">
    <vt:lpwstr/>
  </property>
  <property fmtid="{D5CDD505-2E9C-101B-9397-08002B2CF9AE}" pid="276" name="FSC#LOCAL@2220.100:employee_leader">
    <vt:lpwstr/>
  </property>
  <property fmtid="{D5CDD505-2E9C-101B-9397-08002B2CF9AE}" pid="277" name="FSC#LOCAL@2220.100:employee_entry">
    <vt:lpwstr/>
  </property>
  <property fmtid="{D5CDD505-2E9C-101B-9397-08002B2CF9AE}" pid="278" name="FSC#LOCAL@2220.100:employee_endofprobation">
    <vt:lpwstr/>
  </property>
  <property fmtid="{D5CDD505-2E9C-101B-9397-08002B2CF9AE}" pid="279" name="FSC#LOCAL@2220.100:employee_group">
    <vt:lpwstr/>
  </property>
  <property fmtid="{D5CDD505-2E9C-101B-9397-08002B2CF9AE}" pid="280" name="FSC#PEICFG@15.1700:LastFinalVersionSigner">
    <vt:lpwstr/>
  </property>
  <property fmtid="{D5CDD505-2E9C-101B-9397-08002B2CF9AE}" pid="281" name="FSC#COOELAK@1.1001:ObjectAddressees">
    <vt:lpwstr/>
  </property>
  <property fmtid="{D5CDD505-2E9C-101B-9397-08002B2CF9AE}" pid="282" name="FSC#COOELAK@1.1001:replyreference">
    <vt:lpwstr/>
  </property>
  <property fmtid="{D5CDD505-2E9C-101B-9397-08002B2CF9AE}" pid="283" name="FSC#DEPRECONFIG@15.1001:DocumentTitle">
    <vt:lpwstr/>
  </property>
  <property fmtid="{D5CDD505-2E9C-101B-9397-08002B2CF9AE}" pid="284" name="FSC#DEPRECONFIG@15.1001:ProcedureTitle">
    <vt:lpwstr/>
  </property>
  <property fmtid="{D5CDD505-2E9C-101B-9397-08002B2CF9AE}" pid="285" name="FSC#DEPRECONFIG@15.1001:AuthorTitle">
    <vt:lpwstr>Dr.</vt:lpwstr>
  </property>
  <property fmtid="{D5CDD505-2E9C-101B-9397-08002B2CF9AE}" pid="286" name="FSC#DEPRECONFIG@15.1001:AuthorSalution">
    <vt:lpwstr>Herr</vt:lpwstr>
  </property>
  <property fmtid="{D5CDD505-2E9C-101B-9397-08002B2CF9AE}" pid="287" name="FSC#DEPRECONFIG@15.1001:AuthorName">
    <vt:lpwstr>Dirk Lüttkopf</vt:lpwstr>
  </property>
  <property fmtid="{D5CDD505-2E9C-101B-9397-08002B2CF9AE}" pid="288" name="FSC#DEPRECONFIG@15.1001:AuthorMail">
    <vt:lpwstr>Dirk.Luettkopf@pei.de</vt:lpwstr>
  </property>
  <property fmtid="{D5CDD505-2E9C-101B-9397-08002B2CF9AE}" pid="289" name="FSC#DEPRECONFIG@15.1001:AuthorTelephone">
    <vt:lpwstr>+49 6103 77 2076</vt:lpwstr>
  </property>
  <property fmtid="{D5CDD505-2E9C-101B-9397-08002B2CF9AE}" pid="290" name="FSC#DEPRECONFIG@15.1001:AuthorFax">
    <vt:lpwstr/>
  </property>
  <property fmtid="{D5CDD505-2E9C-101B-9397-08002B2CF9AE}" pid="291" name="FSC#DEPRECONFIG@15.1001:AuthorOE">
    <vt:lpwstr>IMG (Abteilung IMG - Immunologie)</vt:lpwstr>
  </property>
  <property fmtid="{D5CDD505-2E9C-101B-9397-08002B2CF9AE}" pid="292" name="FSC#LOCAL@2220.100:qm_override_fd">
    <vt:lpwstr/>
  </property>
  <property fmtid="{D5CDD505-2E9C-101B-9397-08002B2CF9AE}" pid="293" name="FSC#LOCAL@2220.100:qm_file_generated_at">
    <vt:lpwstr>26.02.2024</vt:lpwstr>
  </property>
  <property fmtid="{D5CDD505-2E9C-101B-9397-08002B2CF9AE}" pid="294" name="FSC#LOCAL@2220.100:LastFinalSignAcep">
    <vt:lpwstr/>
  </property>
  <property fmtid="{D5CDD505-2E9C-101B-9397-08002B2CF9AE}" pid="295" name="FSC#LOCAL@2220.100:LastSignApproveApplication">
    <vt:lpwstr/>
  </property>
  <property fmtid="{D5CDD505-2E9C-101B-9397-08002B2CF9AE}" pid="296" name="FSC#LOCAL@2220.100:LastSignApproveApplicationRestricted">
    <vt:lpwstr/>
  </property>
  <property fmtid="{D5CDD505-2E9C-101B-9397-08002B2CF9AE}" pid="297" name="FSC#LOCAL@2220.100:LastSignApproveApplicationAt">
    <vt:lpwstr/>
  </property>
  <property fmtid="{D5CDD505-2E9C-101B-9397-08002B2CF9AE}" pid="298" name="FSC#LOCAL@2220.100:LastSignApproveApplicationRestrictedAt">
    <vt:lpwstr/>
  </property>
  <property fmtid="{D5CDD505-2E9C-101B-9397-08002B2CF9AE}" pid="299" name="FSC#LOCAL@2220.100:qm_document_key_old_fd">
    <vt:lpwstr/>
  </property>
  <property fmtid="{D5CDD505-2E9C-101B-9397-08002B2CF9AE}" pid="300" name="FSC#LOCAL@2220.100:qm_creator_fd">
    <vt:lpwstr/>
  </property>
  <property fmtid="{D5CDD505-2E9C-101B-9397-08002B2CF9AE}" pid="301" name="FSC#LOCAL@2220.100:qm_2LastFinalSignFileAt">
    <vt:lpwstr/>
  </property>
  <property fmtid="{D5CDD505-2E9C-101B-9397-08002B2CF9AE}" pid="302" name="FSC#LOCAL@2220.100:LastFinalSignFileAt">
    <vt:lpwstr/>
  </property>
  <property fmtid="{D5CDD505-2E9C-101B-9397-08002B2CF9AE}" pid="303" name="FSC#LOCAL@2220.100:applisthirdparty">
    <vt:lpwstr/>
  </property>
  <property fmtid="{D5CDD505-2E9C-101B-9397-08002B2CF9AE}" pid="304" name="FSC#LOCAL@2220.100:applisthirdparty_form">
    <vt:lpwstr/>
  </property>
  <property fmtid="{D5CDD505-2E9C-101B-9397-08002B2CF9AE}" pid="305" name="FSC#LOCAL@2220.100:employee_group_fd">
    <vt:lpwstr/>
  </property>
  <property fmtid="{D5CDD505-2E9C-101B-9397-08002B2CF9AE}" pid="306" name="FSC#LOCAL@2220.100:Initial_Feedback">
    <vt:lpwstr/>
  </property>
  <property fmtid="{D5CDD505-2E9C-101B-9397-08002B2CF9AE}" pid="307" name="FSC#LOCAL@2220.100:LastFinalInitialAt">
    <vt:lpwstr/>
  </property>
  <property fmtid="{D5CDD505-2E9C-101B-9397-08002B2CF9AE}" pid="308" name="FSC#LOCAL@2220.100:LastSignDocument">
    <vt:lpwstr/>
  </property>
  <property fmtid="{D5CDD505-2E9C-101B-9397-08002B2CF9AE}" pid="309" name="FSC#LOCAL@2220.100:LastFinalSignAcepAt">
    <vt:lpwstr/>
  </property>
  <property fmtid="{D5CDD505-2E9C-101B-9397-08002B2CF9AE}" pid="310" name="FSC#LOCAL@2220.100:qm_document_type_fd">
    <vt:lpwstr/>
  </property>
  <property fmtid="{D5CDD505-2E9C-101B-9397-08002B2CF9AE}" pid="311" name="FSC#LOCAL@2220.100:qm_instruction_type_fd">
    <vt:lpwstr/>
  </property>
  <property fmtid="{D5CDD505-2E9C-101B-9397-08002B2CF9AE}" pid="312" name="FSC#LOCAL@2220.100:qm_objactreleasedat_interndoc">
    <vt:lpwstr/>
  </property>
  <property fmtid="{D5CDD505-2E9C-101B-9397-08002B2CF9AE}" pid="313" name="FSC#LOCAL@2220.100:qm_CountFinalSignDocument">
    <vt:lpwstr>0</vt:lpwstr>
  </property>
  <property fmtid="{D5CDD505-2E9C-101B-9397-08002B2CF9AE}" pid="314" name="FSC#LOCAL@2220.100:qm_id_comment">
    <vt:lpwstr/>
  </property>
  <property fmtid="{D5CDD505-2E9C-101B-9397-08002B2CF9AE}" pid="315" name="FSC#LOCAL@2220.100:qm_register">
    <vt:lpwstr/>
  </property>
  <property fmtid="{D5CDD505-2E9C-101B-9397-08002B2CF9AE}" pid="316" name="FSC#LOCAL@2220.100:qm_check_fd">
    <vt:lpwstr/>
  </property>
  <property fmtid="{D5CDD505-2E9C-101B-9397-08002B2CF9AE}" pid="317" name="FSC#LOCAL@2220.100:qm_doc_generated_at">
    <vt:lpwstr/>
  </property>
  <property fmtid="{D5CDD505-2E9C-101B-9397-08002B2CF9AE}" pid="318" name="FSC#LOCAL@2220.100:qm_objreleasedat">
    <vt:lpwstr/>
  </property>
  <property fmtid="{D5CDD505-2E9C-101B-9397-08002B2CF9AE}" pid="319" name="FSC#LOCAL@2220.100:1stAddrTitleProcedure">
    <vt:lpwstr/>
  </property>
  <property fmtid="{D5CDD505-2E9C-101B-9397-08002B2CF9AE}" pid="320" name="FSC#LOCAL@2220.100:1stAddrSalutationProcedure">
    <vt:lpwstr/>
  </property>
  <property fmtid="{D5CDD505-2E9C-101B-9397-08002B2CF9AE}" pid="321" name="FSC#LOCAL@2220.100:1staddrOrgNameProcedure">
    <vt:lpwstr/>
  </property>
  <property fmtid="{D5CDD505-2E9C-101B-9397-08002B2CF9AE}" pid="322" name="FSC#LOCAL@2220.100:1stAddrNameProcedure">
    <vt:lpwstr/>
  </property>
  <property fmtid="{D5CDD505-2E9C-101B-9397-08002B2CF9AE}" pid="323" name="FSC#LOCAL@2220.100:1stAddrFirstnameProcedure">
    <vt:lpwstr/>
  </property>
  <property fmtid="{D5CDD505-2E9C-101B-9397-08002B2CF9AE}" pid="324" name="FSC#LOCAL@2220.100:LastFinalSignAcep_leader">
    <vt:lpwstr>N/A - kein bekannter Leiter im VBS</vt:lpwstr>
  </property>
  <property fmtid="{D5CDD505-2E9C-101B-9397-08002B2CF9AE}" pid="325" name="FSC#LOCAL@2220.100:LastFinalSignAcep_head">
    <vt:lpwstr/>
  </property>
  <property fmtid="{D5CDD505-2E9C-101B-9397-08002B2CF9AE}" pid="326" name="FSC#LOCAL@2220.100:LastFinalSignAcepAt_head">
    <vt:lpwstr/>
  </property>
  <property fmtid="{D5CDD505-2E9C-101B-9397-08002B2CF9AE}" pid="327" name="FSC#LOCAL@2220.100:LastFinalSignAcepAt_leader">
    <vt:lpwstr>N/A - kein bekannter Leiter im VBS</vt:lpwstr>
  </property>
  <property fmtid="{D5CDD505-2E9C-101B-9397-08002B2CF9AE}" pid="328" name="FSC#LOCAL@2220.100:ProcResponsibleGrLongname">
    <vt:lpwstr/>
  </property>
  <property fmtid="{D5CDD505-2E9C-101B-9397-08002B2CF9AE}" pid="329" name="FSC#LOCAL@2220.100:designation">
    <vt:lpwstr/>
  </property>
  <property fmtid="{D5CDD505-2E9C-101B-9397-08002B2CF9AE}" pid="330" name="FSC#LOCAL@2220.100:producer">
    <vt:lpwstr/>
  </property>
  <property fmtid="{D5CDD505-2E9C-101B-9397-08002B2CF9AE}" pid="331" name="FSC#LOCAL@2220.100:model">
    <vt:lpwstr/>
  </property>
  <property fmtid="{D5CDD505-2E9C-101B-9397-08002B2CF9AE}" pid="332" name="FSC#LOCAL@2220.100:applprocurecost">
    <vt:lpwstr/>
  </property>
  <property fmtid="{D5CDD505-2E9C-101B-9397-08002B2CF9AE}" pid="333" name="FSC#LOCAL@2220.100:necessaryprocure">
    <vt:lpwstr/>
  </property>
  <property fmtid="{D5CDD505-2E9C-101B-9397-08002B2CF9AE}" pid="334" name="FSC#LOCAL@2220.100:training_company">
    <vt:lpwstr/>
  </property>
  <property fmtid="{D5CDD505-2E9C-101B-9397-08002B2CF9AE}" pid="335" name="FSC#LOCAL@2220.100:Cooadress">
    <vt:lpwstr>COO.2220.100.8.4674302</vt:lpwstr>
  </property>
  <property fmtid="{D5CDD505-2E9C-101B-9397-08002B2CF9AE}" pid="336" name="FSC#LOCAL@2220.100:ApplDocProjectTitle">
    <vt:lpwstr/>
  </property>
  <property fmtid="{D5CDD505-2E9C-101B-9397-08002B2CF9AE}" pid="337" name="FSC#LOCAL@2220.100:responsible_leader">
    <vt:lpwstr/>
  </property>
  <property fmtid="{D5CDD505-2E9C-101B-9397-08002B2CF9AE}" pid="338" name="FSC#LOCAL@2220.100:FirstFinalSignFileAt">
    <vt:lpwstr/>
  </property>
  <property fmtid="{D5CDD505-2E9C-101B-9397-08002B2CF9AE}" pid="339" name="FSC#LOCAL@2220.100:FirstSignAcceptdraftFileAt">
    <vt:lpwstr/>
  </property>
  <property fmtid="{D5CDD505-2E9C-101B-9397-08002B2CF9AE}" pid="340" name="FSC#LOCAL@2220.100:FirstSignAcceptdraftFile">
    <vt:lpwstr/>
  </property>
  <property fmtid="{D5CDD505-2E9C-101B-9397-08002B2CF9AE}" pid="341" name="FSC#LOCAL@2220.100:ApplDocIsTrainee">
    <vt:lpwstr/>
  </property>
</Properties>
</file>